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one"/>
          <w:left w:val="single" w:sz="24" w:space="0" w:color="E0A800"/>
          <w:bottom w:val="none"/>
          <w:right w:val="none"/>
          <w:insideH w:val="none"/>
          <w:insideV w:val="none"/>
        </w:tblBorders>
      </w:tblPr>
      <w:tblGrid>
        <w:gridCol w:w="9360"/>
      </w:tblGrid>
      <w:tr>
        <w:tc>
          <w:tcPr>
            <w:tcW w:type="dxa" w:w="9360"/>
            <w:shd w:fill="FFF9E6"/>
            <w:tcMar>
              <w:top w:w="140" w:type="dxa"/>
              <w:bottom w:w="140" w:type="dxa"/>
              <w:left w:w="180" w:type="dxa"/>
              <w:right w:w="180" w:type="dxa"/>
            </w:tcMar>
          </w:tcPr>
          <w:p>
            <w:pPr>
              <w:spacing w:before="40" w:after="60" w:line="276" w:lineRule="auto"/>
            </w:pPr>
            <w:r>
              <w:rPr>
                <w:rFonts w:ascii="Calibri" w:hAnsi="Calibri"/>
                <w:b/>
                <w:color w:val="B25E00"/>
                <w:sz w:val="22"/>
              </w:rPr>
              <w:t>⚠️ RESTRICTIVE SECURITIES ACT LEGEND (1933 ACT)</w:t>
              <w:br/>
            </w:r>
            <w:r>
              <w:rPr>
                <w:rFonts w:ascii="Calibri" w:hAnsi="Calibri"/>
                <w:b w:val="0"/>
                <w:i w:val="0"/>
                <w:color w:val="1A1A1A"/>
                <w:sz w:val="22"/>
              </w:rPr>
              <w:t>THE SECURITIES REPRESENTED HEREBY AND THE SECURITIES ISSUABLE UPON EXERCISE HEREOF HAVE NOT BEEN REGISTERED UNDER THE UNITED STATES SECURITIES ACT OF 1933, AS AMENDED (THE "SECURITIES ACT"), OR ANY STATE SECURITIES LAWS. THEY MAY NOT BE SOLD, OFFERED FOR SALE, PLEDGED, HYPOTHECATED, OR OTHERWISE TRANSFERRED EXCEPT PURSUANT TO AN EFFECTIVE REGISTRATION STATEMENT UNDER THE SECURITIES ACT AND APPLICABLE STATE SECURITIES LAWS, OR PURSUANT TO AN EXEMPTION FROM REGISTRATION UNDER THE SECURITIES ACT AND APPLICABLE STATE SECURITIES LAWS.</w:t>
            </w:r>
          </w:p>
        </w:tc>
      </w:tr>
    </w:tbl>
    <w:p>
      <w:pPr>
        <w:spacing w:before="0" w:after="60"/>
      </w:pPr>
    </w:p>
    <w:p>
      <w:pPr>
        <w:spacing w:before="80" w:after="80"/>
        <w:jc w:val="center"/>
      </w:pPr>
      <w:r>
        <w:rPr>
          <w:rFonts w:ascii="Calibri" w:hAnsi="Calibri"/>
          <w:b/>
          <w:color w:val="1F3864"/>
          <w:sz w:val="40"/>
        </w:rPr>
        <w:t>PREFERRED STOCK PURCHASE WARRANT</w:t>
      </w:r>
    </w:p>
    <w:p>
      <w:pPr>
        <w:spacing w:before="0" w:after="160"/>
        <w:jc w:val="center"/>
      </w:pPr>
      <w:r>
        <w:rPr>
          <w:rFonts w:ascii="Calibri" w:hAnsi="Calibri"/>
          <w:b/>
          <w:color w:val="2E4B85"/>
          <w:sz w:val="26"/>
        </w:rPr>
        <w:t>ERTHOS, INC.</w:t>
      </w:r>
    </w:p>
    <w:p>
      <w:pPr>
        <w:spacing w:before="40" w:after="240"/>
        <w:jc w:val="center"/>
      </w:pPr>
      <w:r>
        <w:rPr>
          <w:rFonts w:ascii="Calibri" w:hAnsi="Calibri"/>
          <w:b/>
          <w:color w:val="1F3864"/>
          <w:sz w:val="20"/>
        </w:rPr>
        <w:t xml:space="preserve">WARRANT NO.: </w:t>
      </w:r>
      <w:r>
        <w:rPr>
          <w:rFonts w:ascii="Calibri" w:hAnsi="Calibri"/>
          <w:color w:val="1A1A1A"/>
          <w:sz w:val="20"/>
        </w:rPr>
        <w:t>PSH-2026-01</w:t>
      </w:r>
      <w:r>
        <w:rPr>
          <w:rFonts w:ascii="Calibri" w:hAnsi="Calibri"/>
          <w:color w:val="5A6472"/>
          <w:sz w:val="20"/>
        </w:rPr>
        <w:t xml:space="preserve">   |   </w:t>
      </w:r>
      <w:r>
        <w:rPr>
          <w:rFonts w:ascii="Calibri" w:hAnsi="Calibri"/>
          <w:b/>
          <w:color w:val="1F3864"/>
          <w:sz w:val="20"/>
        </w:rPr>
        <w:t xml:space="preserve">ORIGINAL ISSUE DATE: </w:t>
      </w:r>
      <w:r>
        <w:rPr>
          <w:rFonts w:ascii="Calibri" w:hAnsi="Calibri"/>
          <w:color w:val="1A1A1A"/>
          <w:sz w:val="20"/>
        </w:rPr>
        <w:t>September 30, 2026</w:t>
      </w:r>
      <w:r>
        <w:rPr>
          <w:rFonts w:ascii="Calibri" w:hAnsi="Calibri"/>
          <w:color w:val="5A6472"/>
          <w:sz w:val="20"/>
        </w:rPr>
        <w:t xml:space="preserve">   |   </w:t>
      </w:r>
      <w:r>
        <w:rPr>
          <w:rFonts w:ascii="Calibri" w:hAnsi="Calibri"/>
          <w:b/>
          <w:color w:val="1F3864"/>
          <w:sz w:val="20"/>
        </w:rPr>
        <w:t xml:space="preserve">AGGREGATE EQUITY COVERAGE: </w:t>
      </w:r>
      <w:r>
        <w:rPr>
          <w:rFonts w:ascii="Calibri" w:hAnsi="Calibri"/>
          <w:color w:val="1A1A1A"/>
          <w:sz w:val="20"/>
        </w:rPr>
        <w:t>$4,560,000.00</w:t>
      </w:r>
      <w:r>
        <w:rPr>
          <w:rFonts w:ascii="Calibri" w:hAnsi="Calibri"/>
          <w:color w:val="5A6472"/>
          <w:sz w:val="20"/>
        </w:rPr>
        <w:t xml:space="preserve">   |   </w:t>
      </w:r>
      <w:r>
        <w:rPr>
          <w:rFonts w:ascii="Calibri" w:hAnsi="Calibri"/>
          <w:b/>
          <w:color w:val="1F3864"/>
          <w:sz w:val="20"/>
        </w:rPr>
        <w:t xml:space="preserve">INITIAL EXERCISE PRICE: </w:t>
      </w:r>
      <w:r>
        <w:rPr>
          <w:rFonts w:ascii="Calibri" w:hAnsi="Calibri"/>
          <w:color w:val="1A1A1A"/>
          <w:sz w:val="20"/>
        </w:rPr>
        <w:t>$0.01 per share</w:t>
      </w:r>
      <w:r>
        <w:rPr>
          <w:rFonts w:ascii="Calibri" w:hAnsi="Calibri"/>
          <w:color w:val="5A6472"/>
          <w:sz w:val="20"/>
        </w:rPr>
        <w:t xml:space="preserve">   |   </w:t>
      </w:r>
      <w:r>
        <w:rPr>
          <w:rFonts w:ascii="Calibri" w:hAnsi="Calibri"/>
          <w:b/>
          <w:color w:val="1F3864"/>
          <w:sz w:val="20"/>
        </w:rPr>
        <w:t xml:space="preserve">EXPIRATION DATE: </w:t>
      </w:r>
      <w:r>
        <w:rPr>
          <w:rFonts w:ascii="Calibri" w:hAnsi="Calibri"/>
          <w:color w:val="1A1A1A"/>
          <w:sz w:val="20"/>
        </w:rPr>
        <w:t>September 30, 2036</w:t>
      </w:r>
    </w:p>
    <w:tbl>
      <w:tblPr>
        <w:tblW w:type="auto" w:w="0"/>
        <w:jc w:val="center"/>
        <w:tblLayout w:type="fixed"/>
        <w:tblLook w:firstColumn="1" w:firstRow="1" w:lastColumn="0" w:lastRow="0" w:noHBand="0" w:noVBand="1" w:val="04A0"/>
        <w:tblBorders>
          <w:top w:val="single" w:sz="4" w:space="0" w:color="D7DCE4"/>
          <w:bottom w:val="single" w:sz="4" w:space="0" w:color="D7DCE4"/>
          <w:left w:val="none"/>
          <w:right w:val="none"/>
          <w:insideH w:val="single" w:sz="4" w:space="0" w:color="D7DCE4"/>
          <w:insideV w:val="none"/>
        </w:tblBorders>
      </w:tblPr>
      <w:tblGrid>
        <w:gridCol w:w="3168"/>
        <w:gridCol w:w="6192"/>
      </w:tblGrid>
      <w:tr>
        <w:trPr>
          <w:tblHeader/>
          <w:cantSplit/>
        </w:trPr>
        <w:tc>
          <w:tcPr>
            <w:tcW w:type="dxa" w:w="4680"/>
            <w:shd w:fill="1F3864"/>
            <w:tcMar>
              <w:top w:w="140" w:type="dxa"/>
              <w:bottom w:w="140" w:type="dxa"/>
              <w:left w:w="160" w:type="dxa"/>
              <w:right w:w="160" w:type="dxa"/>
            </w:tcMar>
          </w:tcPr>
          <w:p>
            <w:pPr>
              <w:spacing w:before="0" w:after="0"/>
            </w:pPr>
            <w:r>
              <w:rPr>
                <w:rFonts w:ascii="Calibri" w:hAnsi="Calibri"/>
                <w:b/>
                <w:color w:val="FFFFFF"/>
                <w:sz w:val="20"/>
              </w:rPr>
              <w:t>WARRANT SPECIFICATION</w:t>
            </w:r>
          </w:p>
        </w:tc>
        <w:tc>
          <w:tcPr>
            <w:tcW w:type="dxa" w:w="4680"/>
            <w:shd w:fill="1F3864"/>
            <w:tcMar>
              <w:top w:w="140" w:type="dxa"/>
              <w:bottom w:w="140" w:type="dxa"/>
              <w:left w:w="160" w:type="dxa"/>
              <w:right w:w="160" w:type="dxa"/>
            </w:tcMar>
          </w:tcPr>
          <w:p>
            <w:pPr>
              <w:spacing w:before="0" w:after="0"/>
            </w:pPr>
            <w:r>
              <w:rPr>
                <w:rFonts w:ascii="Calibri" w:hAnsi="Calibri"/>
                <w:b/>
                <w:color w:val="FFFFFF"/>
                <w:sz w:val="20"/>
              </w:rPr>
              <w:t>DEFINITIVE TERMS SUMMARY</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Warrant Identifier</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Warrant No. PSH-2026-01</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Original Issue Date</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September 30, 2026</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Company / Issuer</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Erthos, Inc., a Delaware corporation</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Registered Holder</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Pacific Sequoia Holdings, LLC, a Delaware limited liability company</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Aggregate Equity Value Coverage</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$4,560,000.00 (12.00% of $38.0M Tranche B commitment)</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Underlying Shares</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Series C Preferred Stock (Next Qualified Financing ≥ $15M) or Fallback: Series B Preferred Stock</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Number of Warrant Shares</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$4,560,000.00 ÷ Applicable Per Share Price</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Exercise Price</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$0.01 per share (nominal Penny Strike, subject to anti-dilution adjustments)</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Vesting Status</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100% fully vested and non-forfeitable upon grant</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Expiration Date &amp; Time</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September 30, 2036 at 5:00 p.m. Pacific Time (10-year term)</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Exercise Options</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Cash Exercise or Cashless / Net Exercise (formula-based)</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Deemed Liquidation Protection</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20 business days' advance notice; right to exercise; automatic cashless conversion upon unassumed transaction</w:t>
            </w:r>
          </w:p>
        </w:tc>
      </w:tr>
      <w:tr>
        <w:trPr>
          <w:cantSplit/>
        </w:trPr>
        <w:tc>
          <w:tcPr>
            <w:tcW w:type="dxa" w:w="3168"/>
            <w:shd w:fill="FFFFFF"/>
            <w:tcMar>
              <w:top w:w="100" w:type="dxa"/>
              <w:bottom w:w="100" w:type="dxa"/>
              <w:left w:w="160" w:type="dxa"/>
              <w:right w:w="160" w:type="dxa"/>
            </w:tcMar>
          </w:tcPr>
          <w:p>
            <w:pPr>
              <w:spacing w:before="40" w:after="40" w:line="276" w:lineRule="auto"/>
            </w:pPr>
            <w:r>
              <w:rPr>
                <w:rFonts w:ascii="Calibri" w:hAnsi="Calibri"/>
                <w:b/>
                <w:color w:val="1F3864"/>
                <w:sz w:val="20"/>
              </w:rPr>
              <w:t>Information &amp; Registration Rights</w:t>
            </w:r>
          </w:p>
        </w:tc>
        <w:tc>
          <w:tcPr>
            <w:tcW w:type="dxa" w:w="6192"/>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Quarterly (45d) &amp; annual audited (120d) financials; piggyback registration rights pari passu with preferred investors</w:t>
            </w:r>
          </w:p>
        </w:tc>
      </w:tr>
      <w:tr>
        <w:trPr>
          <w:cantSplit/>
        </w:trPr>
        <w:tc>
          <w:tcPr>
            <w:tcW w:type="dxa" w:w="3168"/>
            <w:shd w:fill="F7F9FC"/>
            <w:tcMar>
              <w:top w:w="100" w:type="dxa"/>
              <w:bottom w:w="100" w:type="dxa"/>
              <w:left w:w="160" w:type="dxa"/>
              <w:right w:w="160" w:type="dxa"/>
            </w:tcMar>
          </w:tcPr>
          <w:p>
            <w:pPr>
              <w:spacing w:before="40" w:after="40" w:line="276" w:lineRule="auto"/>
            </w:pPr>
            <w:r>
              <w:rPr>
                <w:rFonts w:ascii="Calibri" w:hAnsi="Calibri"/>
                <w:b/>
                <w:color w:val="1F3864"/>
                <w:sz w:val="20"/>
              </w:rPr>
              <w:t>Governing Law &amp; Forum</w:t>
            </w:r>
          </w:p>
        </w:tc>
        <w:tc>
          <w:tcPr>
            <w:tcW w:type="dxa" w:w="6192"/>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State of Delaware · Exclusive Jurisdiction in the Delaware Court of Chancery</w:t>
            </w:r>
          </w:p>
        </w:tc>
      </w:tr>
    </w:tbl>
    <w:p>
      <w:pPr>
        <w:spacing w:before="40" w:after="80"/>
      </w:pPr>
    </w:p>
    <w:p>
      <w:pPr>
        <w:keepNext/>
        <w:spacing w:before="280" w:after="80"/>
      </w:pPr>
      <w:r>
        <w:rPr>
          <w:rFonts w:ascii="Calibri" w:hAnsi="Calibri"/>
          <w:b/>
          <w:color w:val="1F3864"/>
          <w:sz w:val="28"/>
        </w:rPr>
        <w:t>PREAMBLE &amp; RECITALS</w:t>
      </w:r>
    </w:p>
    <w:p>
      <w:pPr>
        <w:spacing w:before="0" w:after="80" w:line="276" w:lineRule="auto"/>
      </w:pPr>
      <w:r>
        <w:rPr>
          <w:rFonts w:ascii="Calibri" w:hAnsi="Calibri"/>
          <w:b w:val="0"/>
          <w:i w:val="0"/>
          <w:color w:val="1A1A1A"/>
          <w:sz w:val="22"/>
        </w:rPr>
        <w:t xml:space="preserve">FOR VALUE RECEIVED, </w:t>
      </w:r>
      <w:r>
        <w:rPr>
          <w:rFonts w:ascii="Calibri" w:hAnsi="Calibri"/>
          <w:b/>
          <w:i w:val="0"/>
          <w:color w:val="1A1A1A"/>
          <w:sz w:val="22"/>
        </w:rPr>
        <w:t>ERTHOS, INC.</w:t>
      </w:r>
      <w:r>
        <w:rPr>
          <w:rFonts w:ascii="Calibri" w:hAnsi="Calibri"/>
          <w:b w:val="0"/>
          <w:i w:val="0"/>
          <w:color w:val="1A1A1A"/>
          <w:sz w:val="22"/>
        </w:rPr>
        <w:t>, a Delaware corporation (the "</w:t>
      </w:r>
      <w:r>
        <w:rPr>
          <w:rFonts w:ascii="Calibri" w:hAnsi="Calibri"/>
          <w:b/>
          <w:i w:val="0"/>
          <w:color w:val="1A1A1A"/>
          <w:sz w:val="22"/>
        </w:rPr>
        <w:t>Company</w:t>
      </w:r>
      <w:r>
        <w:rPr>
          <w:rFonts w:ascii="Calibri" w:hAnsi="Calibri"/>
          <w:b w:val="0"/>
          <w:i w:val="0"/>
          <w:color w:val="1A1A1A"/>
          <w:sz w:val="22"/>
        </w:rPr>
        <w:t xml:space="preserve">"), hereby certifies that </w:t>
      </w:r>
      <w:r>
        <w:rPr>
          <w:rFonts w:ascii="Calibri" w:hAnsi="Calibri"/>
          <w:b/>
          <w:i w:val="0"/>
          <w:color w:val="1A1A1A"/>
          <w:sz w:val="22"/>
        </w:rPr>
        <w:t>PACIFIC SEQUOIA HOLDINGS, LLC</w:t>
      </w:r>
      <w:r>
        <w:rPr>
          <w:rFonts w:ascii="Calibri" w:hAnsi="Calibri"/>
          <w:b w:val="0"/>
          <w:i w:val="0"/>
          <w:color w:val="1A1A1A"/>
          <w:sz w:val="22"/>
        </w:rPr>
        <w:t>, a Delaware limited liability company, or its registered assigns (the "</w:t>
      </w:r>
      <w:r>
        <w:rPr>
          <w:rFonts w:ascii="Calibri" w:hAnsi="Calibri"/>
          <w:b/>
          <w:i w:val="0"/>
          <w:color w:val="1A1A1A"/>
          <w:sz w:val="22"/>
        </w:rPr>
        <w:t>Holder</w:t>
      </w:r>
      <w:r>
        <w:rPr>
          <w:rFonts w:ascii="Calibri" w:hAnsi="Calibri"/>
          <w:b w:val="0"/>
          <w:i w:val="0"/>
          <w:color w:val="1A1A1A"/>
          <w:sz w:val="22"/>
        </w:rPr>
        <w:t>" or "</w:t>
      </w:r>
      <w:r>
        <w:rPr>
          <w:rFonts w:ascii="Calibri" w:hAnsi="Calibri"/>
          <w:b/>
          <w:i w:val="0"/>
          <w:color w:val="1A1A1A"/>
          <w:sz w:val="22"/>
        </w:rPr>
        <w:t>PSH</w:t>
      </w:r>
      <w:r>
        <w:rPr>
          <w:rFonts w:ascii="Calibri" w:hAnsi="Calibri"/>
          <w:b w:val="0"/>
          <w:i w:val="0"/>
          <w:color w:val="1A1A1A"/>
          <w:sz w:val="22"/>
        </w:rPr>
        <w:t>"), is entitled to purchase from the Company, at any time and from time to time on or after the Original Issue Date and prior to 5:00 p.m. Pacific Time on the Expiration Date, the number of fully paid and non-assessable Warrant Shares (as defined below) at the Exercise Price (as defined below), all subject to the terms, conditions, and adjustments set forth in this Warrant to Purchase Preferred Stock (this "</w:t>
      </w:r>
      <w:r>
        <w:rPr>
          <w:rFonts w:ascii="Calibri" w:hAnsi="Calibri"/>
          <w:b/>
          <w:i w:val="0"/>
          <w:color w:val="1A1A1A"/>
          <w:sz w:val="22"/>
        </w:rPr>
        <w:t>Warrant</w:t>
      </w:r>
      <w:r>
        <w:rPr>
          <w:rFonts w:ascii="Calibri" w:hAnsi="Calibri"/>
          <w:b w:val="0"/>
          <w:i w:val="0"/>
          <w:color w:val="1A1A1A"/>
          <w:sz w:val="22"/>
        </w:rPr>
        <w:t>").</w:t>
      </w:r>
    </w:p>
    <w:p>
      <w:pPr>
        <w:spacing w:before="0" w:after="80" w:line="276" w:lineRule="auto"/>
      </w:pPr>
      <w:r>
        <w:rPr>
          <w:rFonts w:ascii="Calibri" w:hAnsi="Calibri"/>
          <w:b/>
          <w:i w:val="0"/>
          <w:color w:val="1A1A1A"/>
          <w:sz w:val="22"/>
        </w:rPr>
        <w:t>WHEREAS</w:t>
      </w:r>
      <w:r>
        <w:rPr>
          <w:rFonts w:ascii="Calibri" w:hAnsi="Calibri"/>
          <w:b w:val="0"/>
          <w:i w:val="0"/>
          <w:color w:val="1A1A1A"/>
          <w:sz w:val="22"/>
        </w:rPr>
        <w:t>, ErthCap DevCo LLC, a Delaware limited liability company wholly owned by Erthos Capital, LLC, a subsidiary of the Company (the "</w:t>
      </w:r>
      <w:r>
        <w:rPr>
          <w:rFonts w:ascii="Calibri" w:hAnsi="Calibri"/>
          <w:b/>
          <w:i w:val="0"/>
          <w:color w:val="1A1A1A"/>
          <w:sz w:val="22"/>
        </w:rPr>
        <w:t>Borrower</w:t>
      </w:r>
      <w:r>
        <w:rPr>
          <w:rFonts w:ascii="Calibri" w:hAnsi="Calibri"/>
          <w:b w:val="0"/>
          <w:i w:val="0"/>
          <w:color w:val="1A1A1A"/>
          <w:sz w:val="22"/>
        </w:rPr>
        <w:t>"), and Holder entered into that certain Credit Agreement, dated as of April 17, 2025, providing for an original credit facility of up to $30,000,000 to finance Project Bravo (owned by Industrial Bravo Project LLC);</w:t>
      </w:r>
    </w:p>
    <w:p>
      <w:pPr>
        <w:spacing w:before="0" w:after="80" w:line="276" w:lineRule="auto"/>
      </w:pPr>
      <w:r>
        <w:rPr>
          <w:rFonts w:ascii="Calibri" w:hAnsi="Calibri"/>
          <w:b/>
          <w:i w:val="0"/>
          <w:color w:val="1A1A1A"/>
          <w:sz w:val="22"/>
        </w:rPr>
        <w:t>WHEREAS</w:t>
      </w:r>
      <w:r>
        <w:rPr>
          <w:rFonts w:ascii="Calibri" w:hAnsi="Calibri"/>
          <w:b w:val="0"/>
          <w:i w:val="0"/>
          <w:color w:val="1A1A1A"/>
          <w:sz w:val="22"/>
        </w:rPr>
        <w:t>, the Borrower and Holder entered into Amendment No. 1 to Credit Agreement, dated as of February 5, 2026, increasing the total loan commitment under the facility to $38,500,000;</w:t>
      </w:r>
    </w:p>
    <w:p>
      <w:pPr>
        <w:spacing w:before="0" w:after="80" w:line="276" w:lineRule="auto"/>
      </w:pPr>
      <w:r>
        <w:rPr>
          <w:rFonts w:ascii="Calibri" w:hAnsi="Calibri"/>
          <w:b/>
          <w:i w:val="0"/>
          <w:color w:val="1A1A1A"/>
          <w:sz w:val="22"/>
        </w:rPr>
        <w:t>WHEREAS</w:t>
      </w:r>
      <w:r>
        <w:rPr>
          <w:rFonts w:ascii="Calibri" w:hAnsi="Calibri"/>
          <w:b w:val="0"/>
          <w:i w:val="0"/>
          <w:color w:val="1A1A1A"/>
          <w:sz w:val="22"/>
        </w:rPr>
        <w:t>, the Borrower and Holder entered into Amendment No. 2 to Credit Agreement, dated as of June 1, 2026 ("</w:t>
      </w:r>
      <w:r>
        <w:rPr>
          <w:rFonts w:ascii="Calibri" w:hAnsi="Calibri"/>
          <w:b/>
          <w:i w:val="0"/>
          <w:color w:val="1A1A1A"/>
          <w:sz w:val="22"/>
        </w:rPr>
        <w:t>Amendment No. 2</w:t>
      </w:r>
      <w:r>
        <w:rPr>
          <w:rFonts w:ascii="Calibri" w:hAnsi="Calibri"/>
          <w:b w:val="0"/>
          <w:i w:val="0"/>
          <w:color w:val="1A1A1A"/>
          <w:sz w:val="22"/>
        </w:rPr>
        <w:t>"), pursuant to which the aggregate loan commitment was increased to up to $76,500,000, structured into Tranche A (up to $38,500,000 bearing interest at 10.00% per annum) and Tranche B (up to $38,000,000 bearing interest at 12.00% per annum);</w:t>
      </w:r>
    </w:p>
    <w:p>
      <w:pPr>
        <w:spacing w:before="0" w:after="80" w:line="276" w:lineRule="auto"/>
      </w:pPr>
      <w:r>
        <w:rPr>
          <w:rFonts w:ascii="Calibri" w:hAnsi="Calibri"/>
          <w:b/>
          <w:i w:val="0"/>
          <w:color w:val="1A1A1A"/>
          <w:sz w:val="22"/>
        </w:rPr>
        <w:t>WHEREAS</w:t>
      </w:r>
      <w:r>
        <w:rPr>
          <w:rFonts w:ascii="Calibri" w:hAnsi="Calibri"/>
          <w:b w:val="0"/>
          <w:i w:val="0"/>
          <w:color w:val="1A1A1A"/>
          <w:sz w:val="22"/>
        </w:rPr>
        <w:t>, in consideration of Holder providing the $38,000,000 Tranche B construction financing commitment under Amendment No. 2 for the construction and completion of Project Bravo, the Company agreed to issue to Holder an equity purchase warrant representing twelve percent (12.00%) warrant coverage on such Tranche B facility commitment, equal to an aggregate equity value coverage of Four Million Five Hundred Sixty Thousand Dollars ($4,560,000.00) (the "</w:t>
      </w:r>
      <w:r>
        <w:rPr>
          <w:rFonts w:ascii="Calibri" w:hAnsi="Calibri"/>
          <w:b/>
          <w:i w:val="0"/>
          <w:color w:val="1A1A1A"/>
          <w:sz w:val="22"/>
        </w:rPr>
        <w:t>Aggregate Equity Value</w:t>
      </w:r>
      <w:r>
        <w:rPr>
          <w:rFonts w:ascii="Calibri" w:hAnsi="Calibri"/>
          <w:b w:val="0"/>
          <w:i w:val="0"/>
          <w:color w:val="1A1A1A"/>
          <w:sz w:val="22"/>
        </w:rPr>
        <w:t>"); and</w:t>
      </w:r>
    </w:p>
    <w:p>
      <w:pPr>
        <w:spacing w:before="0" w:after="80" w:line="276" w:lineRule="auto"/>
      </w:pPr>
      <w:r>
        <w:rPr>
          <w:rFonts w:ascii="Calibri" w:hAnsi="Calibri"/>
          <w:b/>
          <w:i w:val="0"/>
          <w:color w:val="1A1A1A"/>
          <w:sz w:val="22"/>
        </w:rPr>
        <w:t>WHEREAS</w:t>
      </w:r>
      <w:r>
        <w:rPr>
          <w:rFonts w:ascii="Calibri" w:hAnsi="Calibri"/>
          <w:b w:val="0"/>
          <w:i w:val="0"/>
          <w:color w:val="1A1A1A"/>
          <w:sz w:val="22"/>
        </w:rPr>
        <w:t>, the Board of Directors of the Company (the "</w:t>
      </w:r>
      <w:r>
        <w:rPr>
          <w:rFonts w:ascii="Calibri" w:hAnsi="Calibri"/>
          <w:b/>
          <w:i w:val="0"/>
          <w:color w:val="1A1A1A"/>
          <w:sz w:val="22"/>
        </w:rPr>
        <w:t>Board</w:t>
      </w:r>
      <w:r>
        <w:rPr>
          <w:rFonts w:ascii="Calibri" w:hAnsi="Calibri"/>
          <w:b w:val="0"/>
          <w:i w:val="0"/>
          <w:color w:val="1A1A1A"/>
          <w:sz w:val="22"/>
        </w:rPr>
        <w:t>") has approved the issuance of this Warrant to Holder as an inducement and equity consideration for such financing, and has determined that the issuance of this Warrant is fair, advisable, and in the best interests of the Company and its stockholders.</w:t>
      </w:r>
    </w:p>
    <w:p>
      <w:pPr>
        <w:spacing w:before="0" w:after="80" w:line="276" w:lineRule="auto"/>
      </w:pPr>
      <w:r>
        <w:rPr>
          <w:rFonts w:ascii="Calibri" w:hAnsi="Calibri"/>
          <w:b/>
          <w:i w:val="0"/>
          <w:color w:val="1A1A1A"/>
          <w:sz w:val="22"/>
        </w:rPr>
        <w:t>NOW, THEREFORE</w:t>
      </w:r>
      <w:r>
        <w:rPr>
          <w:rFonts w:ascii="Calibri" w:hAnsi="Calibri"/>
          <w:b w:val="0"/>
          <w:i w:val="0"/>
          <w:color w:val="1A1A1A"/>
          <w:sz w:val="22"/>
        </w:rPr>
        <w:t>, in consideration of the mutual covenants and agreements contained herein and other good and valuable consideration, the receipt and sufficiency of which are hereby acknowledged, the Company and Holder agree as follows:</w:t>
      </w:r>
    </w:p>
    <w:p>
      <w:pPr>
        <w:keepNext/>
        <w:spacing w:before="280" w:after="80"/>
      </w:pPr>
      <w:r>
        <w:rPr>
          <w:rFonts w:ascii="Calibri" w:hAnsi="Calibri"/>
          <w:b/>
          <w:color w:val="1F3864"/>
          <w:sz w:val="28"/>
        </w:rPr>
        <w:t>SECTION 1. ISSUANCE AND NUMBER OF SHARES</w:t>
      </w:r>
    </w:p>
    <w:p>
      <w:pPr>
        <w:keepNext/>
        <w:spacing w:before="200" w:after="60"/>
      </w:pPr>
      <w:r>
        <w:rPr>
          <w:rFonts w:ascii="Calibri" w:hAnsi="Calibri"/>
          <w:b/>
          <w:color w:val="2E4B85"/>
          <w:sz w:val="24"/>
        </w:rPr>
        <w:t>1.1 Underlying Security</w:t>
      </w:r>
    </w:p>
    <w:p>
      <w:pPr>
        <w:spacing w:before="0" w:after="80" w:line="276" w:lineRule="auto"/>
      </w:pPr>
      <w:r>
        <w:rPr>
          <w:rFonts w:ascii="Calibri" w:hAnsi="Calibri"/>
          <w:b w:val="0"/>
          <w:i w:val="0"/>
          <w:color w:val="1A1A1A"/>
          <w:sz w:val="22"/>
        </w:rPr>
        <w:t>The shares of capital stock of the Company issuable upon the exercise of this Warrant (the "</w:t>
      </w:r>
      <w:r>
        <w:rPr>
          <w:rFonts w:ascii="Calibri" w:hAnsi="Calibri"/>
          <w:b/>
          <w:i w:val="0"/>
          <w:color w:val="1A1A1A"/>
          <w:sz w:val="22"/>
        </w:rPr>
        <w:t>Warrant Shares</w:t>
      </w:r>
      <w:r>
        <w:rPr>
          <w:rFonts w:ascii="Calibri" w:hAnsi="Calibri"/>
          <w:b w:val="0"/>
          <w:i w:val="0"/>
          <w:color w:val="1A1A1A"/>
          <w:sz w:val="22"/>
        </w:rPr>
        <w:t>") shall be shares of the Company's Preferred Stock, par value $0.0001 per share (the "</w:t>
      </w:r>
      <w:r>
        <w:rPr>
          <w:rFonts w:ascii="Calibri" w:hAnsi="Calibri"/>
          <w:b/>
          <w:i w:val="0"/>
          <w:color w:val="1A1A1A"/>
          <w:sz w:val="22"/>
        </w:rPr>
        <w:t>Preferred Stock</w:t>
      </w:r>
      <w:r>
        <w:rPr>
          <w:rFonts w:ascii="Calibri" w:hAnsi="Calibri"/>
          <w:b w:val="0"/>
          <w:i w:val="0"/>
          <w:color w:val="1A1A1A"/>
          <w:sz w:val="22"/>
        </w:rPr>
        <w:t>"), determined as follows: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w:t>
      </w:r>
      <w:r>
        <w:rPr>
          <w:rFonts w:ascii="Calibri" w:hAnsi="Calibri"/>
          <w:b/>
          <w:i w:val="0"/>
          <w:color w:val="1A1A1A"/>
          <w:sz w:val="22"/>
        </w:rPr>
        <w:t>Next Qualified Financing.</w:t>
      </w:r>
      <w:r>
        <w:rPr>
          <w:rFonts w:ascii="Calibri" w:hAnsi="Calibri"/>
          <w:b w:val="0"/>
          <w:i w:val="0"/>
          <w:color w:val="1A1A1A"/>
          <w:sz w:val="22"/>
        </w:rPr>
        <w:t xml:space="preserve"> If, prior to the exercise of this Warrant, the Company consummates an equity financing round in which it issues and sells shares of a new series of Preferred Stock (designated as "</w:t>
      </w:r>
      <w:r>
        <w:rPr>
          <w:rFonts w:ascii="Calibri" w:hAnsi="Calibri"/>
          <w:b/>
          <w:i w:val="0"/>
          <w:color w:val="1A1A1A"/>
          <w:sz w:val="22"/>
        </w:rPr>
        <w:t>Series C Preferred Stock</w:t>
      </w:r>
      <w:r>
        <w:rPr>
          <w:rFonts w:ascii="Calibri" w:hAnsi="Calibri"/>
          <w:b w:val="0"/>
          <w:i w:val="0"/>
          <w:color w:val="1A1A1A"/>
          <w:sz w:val="22"/>
        </w:rPr>
        <w:t>", or such other series designation) to third-party cash investors with aggregate gross proceeds to the Company of at least Fifteen Million Dollars ($15,000,000) (a "</w:t>
      </w:r>
      <w:r>
        <w:rPr>
          <w:rFonts w:ascii="Calibri" w:hAnsi="Calibri"/>
          <w:b/>
          <w:i w:val="0"/>
          <w:color w:val="1A1A1A"/>
          <w:sz w:val="22"/>
        </w:rPr>
        <w:t>Next Qualified Financing</w:t>
      </w:r>
      <w:r>
        <w:rPr>
          <w:rFonts w:ascii="Calibri" w:hAnsi="Calibri"/>
          <w:b w:val="0"/>
          <w:i w:val="0"/>
          <w:color w:val="1A1A1A"/>
          <w:sz w:val="22"/>
        </w:rPr>
        <w:t>"), then the Warrant Shares shall consist of validly authorized, unissued, and fully paid shares of such Series C Preferred Stock.</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(b) </w:t>
      </w:r>
      <w:r>
        <w:rPr>
          <w:rFonts w:ascii="Calibri" w:hAnsi="Calibri"/>
          <w:b/>
          <w:i w:val="0"/>
          <w:color w:val="1A1A1A"/>
          <w:sz w:val="22"/>
        </w:rPr>
        <w:t>Senior Preferred Fallback.</w:t>
      </w:r>
      <w:r>
        <w:rPr>
          <w:rFonts w:ascii="Calibri" w:hAnsi="Calibri"/>
          <w:b w:val="0"/>
          <w:i w:val="0"/>
          <w:color w:val="1A1A1A"/>
          <w:sz w:val="22"/>
        </w:rPr>
        <w:t xml:space="preserve"> If this Warrant is exercised prior to the initial closing of a Next Qualified Financing, or if no Next Qualified Financing is consummated on or prior to December 31, 2027, then the Warrant Shares shall consist of validly authorized, unissued, and fully paid shares of the most senior class or series of Preferred Stock of the Company authorized and issued as of the date of exercise (e.g., the Company's </w:t>
      </w:r>
      <w:r>
        <w:rPr>
          <w:rFonts w:ascii="Calibri" w:hAnsi="Calibri"/>
          <w:b/>
          <w:i w:val="0"/>
          <w:color w:val="1A1A1A"/>
          <w:sz w:val="22"/>
        </w:rPr>
        <w:t>Series B Preferred Stock</w:t>
      </w:r>
      <w:r>
        <w:rPr>
          <w:rFonts w:ascii="Calibri" w:hAnsi="Calibri"/>
          <w:b w:val="0"/>
          <w:i w:val="0"/>
          <w:color w:val="1A1A1A"/>
          <w:sz w:val="22"/>
        </w:rPr>
        <w:t>), or such other class or series of capital stock as determined in good faith by the Board to reflect equivalent economic rights and liquidation preferences.</w:t>
      </w:r>
    </w:p>
    <w:p>
      <w:pPr>
        <w:keepNext/>
        <w:spacing w:before="200" w:after="60"/>
      </w:pPr>
      <w:r>
        <w:rPr>
          <w:rFonts w:ascii="Calibri" w:hAnsi="Calibri"/>
          <w:b/>
          <w:color w:val="2E4B85"/>
          <w:sz w:val="24"/>
        </w:rPr>
        <w:t>1.2 Number of Warrant Shares</w:t>
      </w:r>
    </w:p>
    <w:p>
      <w:pPr>
        <w:spacing w:before="0" w:after="80" w:line="276" w:lineRule="auto"/>
      </w:pPr>
      <w:r>
        <w:rPr>
          <w:rFonts w:ascii="Calibri" w:hAnsi="Calibri"/>
          <w:b w:val="0"/>
          <w:i w:val="0"/>
          <w:color w:val="1A1A1A"/>
          <w:sz w:val="22"/>
        </w:rPr>
        <w:t>The total number of Warrant Shares for which this Warrant is exercisable (subject to adjustment pursuant to Section 4 hereof) shall be the integer quotient obtained by dividing the Aggregate Equity Value by the Applicable Per Share Price:</w:t>
      </w:r>
    </w:p>
    <w:tbl>
      <w:tblPr>
        <w:tblW w:type="auto" w:w="0"/>
        <w:jc w:val="center"/>
        <w:tblLayout w:type="fixed"/>
        <w:tblLook w:firstColumn="1" w:firstRow="1" w:lastColumn="0" w:lastRow="0" w:noHBand="0" w:noVBand="1" w:val="04A0"/>
        <w:tblBorders>
          <w:top w:val="single" w:sz="6" w:space="0" w:color="2E4B85"/>
          <w:left w:val="single" w:sz="24" w:space="0" w:color="1F3864"/>
          <w:bottom w:val="single" w:sz="6" w:space="0" w:color="2E4B85"/>
          <w:right w:val="single" w:sz="6" w:space="0" w:color="2E4B85"/>
          <w:insideH w:val="none"/>
          <w:insideV w:val="none"/>
        </w:tblBorders>
      </w:tblPr>
      <w:tblGrid>
        <w:gridCol w:w="9360"/>
      </w:tblGrid>
      <w:tr>
        <w:tc>
          <w:tcPr>
            <w:tcW w:type="dxa" w:w="9360"/>
            <w:shd w:fill="EEF4FC"/>
            <w:tcMar>
              <w:top w:w="140" w:type="dxa"/>
              <w:bottom w:w="140" w:type="dxa"/>
              <w:left w:w="200" w:type="dxa"/>
              <w:right w:w="200" w:type="dxa"/>
            </w:tcMar>
          </w:tcPr>
          <w:p>
            <w:pPr>
              <w:spacing w:before="40" w:after="80"/>
              <w:jc w:val="center"/>
            </w:pPr>
            <w:r>
              <w:rPr>
                <w:rFonts w:ascii="Calibri" w:hAnsi="Calibri"/>
                <w:b/>
                <w:color w:val="1F3864"/>
                <w:sz w:val="20"/>
              </w:rPr>
              <w:t>✦  NUMBER OF WARRANT SHARES  ✦</w:t>
              <w:br/>
            </w:r>
            <w:r>
              <w:rPr>
                <w:rFonts w:ascii="Cambria" w:hAnsi="Cambria"/>
                <w:b/>
                <w:color w:val="1F3864"/>
                <w:sz w:val="24"/>
              </w:rPr>
              <w:t xml:space="preserve">                                 Aggregate Equity Value             $4,560,000.00     </w:t>
              <w:br/>
            </w:r>
            <w:r>
              <w:rPr>
                <w:rFonts w:ascii="Cambria" w:hAnsi="Cambria"/>
                <w:b/>
                <w:color w:val="1F3864"/>
                <w:sz w:val="24"/>
              </w:rPr>
              <w:t>Number of Warrant Shares  =  ───────────────────────────────  =  ───────────────────────────</w:t>
              <w:br/>
            </w:r>
            <w:r>
              <w:rPr>
                <w:rFonts w:ascii="Cambria" w:hAnsi="Cambria"/>
                <w:b/>
                <w:color w:val="1F3864"/>
                <w:sz w:val="24"/>
              </w:rPr>
              <w:t xml:space="preserve">                               Applicable Per Share Price        Applicable Per Share Price </w:t>
              <w:br/>
            </w:r>
          </w:p>
        </w:tc>
      </w:tr>
    </w:tbl>
    <w:p>
      <w:pPr>
        <w:spacing w:before="0" w:after="80"/>
      </w:pPr>
    </w:p>
    <w:p>
      <w:pPr>
        <w:spacing w:before="0" w:after="80" w:line="276" w:lineRule="auto"/>
      </w:pPr>
      <w:r>
        <w:rPr>
          <w:rFonts w:ascii="Calibri" w:hAnsi="Calibri"/>
          <w:b w:val="0"/>
          <w:i w:val="0"/>
          <w:color w:val="1A1A1A"/>
          <w:sz w:val="22"/>
        </w:rPr>
        <w:t>Where: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w:t>
      </w:r>
      <w:r>
        <w:rPr>
          <w:rFonts w:ascii="Calibri" w:hAnsi="Calibri"/>
          <w:b/>
          <w:i w:val="0"/>
          <w:color w:val="1A1A1A"/>
          <w:sz w:val="22"/>
        </w:rPr>
        <w:t>Aggregate Equity Value</w:t>
      </w:r>
      <w:r>
        <w:rPr>
          <w:rFonts w:ascii="Calibri" w:hAnsi="Calibri"/>
          <w:b w:val="0"/>
          <w:i w:val="0"/>
          <w:color w:val="1A1A1A"/>
          <w:sz w:val="22"/>
        </w:rPr>
        <w:t>" means Four Million Five Hundred Sixty Thousand Dollars ($4,560,000.00).</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w:t>
      </w:r>
      <w:r>
        <w:rPr>
          <w:rFonts w:ascii="Calibri" w:hAnsi="Calibri"/>
          <w:b/>
          <w:i w:val="0"/>
          <w:color w:val="1A1A1A"/>
          <w:sz w:val="22"/>
        </w:rPr>
        <w:t>Applicable Per Share Price</w:t>
      </w:r>
      <w:r>
        <w:rPr>
          <w:rFonts w:ascii="Calibri" w:hAnsi="Calibri"/>
          <w:b w:val="0"/>
          <w:i w:val="0"/>
          <w:color w:val="1A1A1A"/>
          <w:sz w:val="22"/>
        </w:rPr>
        <w:t>" means:</w:t>
      </w:r>
    </w:p>
    <w:p>
      <w:pPr>
        <w:spacing w:before="20" w:after="60" w:line="276" w:lineRule="auto"/>
        <w:ind w:left="576" w:hanging="360"/>
      </w:pPr>
      <w:r>
        <w:rPr>
          <w:rFonts w:ascii="Calibri" w:hAnsi="Calibri"/>
          <w:b/>
          <w:color w:val="2E4B85"/>
          <w:sz w:val="21"/>
        </w:rPr>
        <w:t xml:space="preserve">(i)  </w:t>
      </w:r>
      <w:r>
        <w:rPr>
          <w:rFonts w:ascii="Calibri" w:hAnsi="Calibri"/>
          <w:b w:val="0"/>
          <w:i w:val="0"/>
          <w:color w:val="1A1A1A"/>
          <w:sz w:val="22"/>
        </w:rPr>
        <w:t>In the event the Warrant Shares consist of Series C Preferred Stock under Section 1.1(a), the lowest per-share purchase price paid in cash by investors purchasing Series C Preferred Stock in the initial closing of the Next Qualified Financing; or</w:t>
      </w:r>
    </w:p>
    <w:p>
      <w:pPr>
        <w:spacing w:before="20" w:after="60" w:line="276" w:lineRule="auto"/>
        <w:ind w:left="576" w:hanging="360"/>
      </w:pPr>
      <w:r>
        <w:rPr>
          <w:rFonts w:ascii="Calibri" w:hAnsi="Calibri"/>
          <w:b/>
          <w:color w:val="2E4B85"/>
          <w:sz w:val="21"/>
        </w:rPr>
        <w:t xml:space="preserve">(ii)  </w:t>
      </w:r>
      <w:r>
        <w:rPr>
          <w:rFonts w:ascii="Calibri" w:hAnsi="Calibri"/>
          <w:b w:val="0"/>
          <w:i w:val="0"/>
          <w:color w:val="1A1A1A"/>
          <w:sz w:val="22"/>
        </w:rPr>
        <w:t>In the event the Warrant Shares consist of Series B Preferred Stock under Section 1.1(b), the original issue price per share of the Company's Series B Preferred Stock as established in the Company's Certificate of Incorporation (as adjusted for stock splits, stock combinations, recapitalizations, and the like); provided, however, that if the Board determines in good faith that such original issue price does not reasonably reflect the fair market value of such shares as of the Original Issue Date, the Applicable Per Share Price shall be the fair market value per share of Series B Preferred Stock as determined in good faith by the Board, supported by an independent Section 409A valuation or equivalent independent appraisal.</w:t>
      </w:r>
    </w:p>
    <w:p>
      <w:pPr>
        <w:keepNext/>
        <w:spacing w:before="200" w:after="60"/>
      </w:pPr>
      <w:r>
        <w:rPr>
          <w:rFonts w:ascii="Calibri" w:hAnsi="Calibri"/>
          <w:b/>
          <w:color w:val="2E4B85"/>
          <w:sz w:val="24"/>
        </w:rPr>
        <w:t>1.3 Exercise Price</w:t>
      </w:r>
    </w:p>
    <w:p>
      <w:pPr>
        <w:spacing w:before="0" w:after="80" w:line="276" w:lineRule="auto"/>
      </w:pPr>
      <w:r>
        <w:rPr>
          <w:rFonts w:ascii="Calibri" w:hAnsi="Calibri"/>
          <w:b w:val="0"/>
          <w:i w:val="0"/>
          <w:color w:val="1A1A1A"/>
          <w:sz w:val="22"/>
        </w:rPr>
        <w:t xml:space="preserve">The exercise price per Warrant Share shall be </w:t>
      </w:r>
      <w:r>
        <w:rPr>
          <w:rFonts w:ascii="Calibri" w:hAnsi="Calibri"/>
          <w:b/>
          <w:i w:val="0"/>
          <w:color w:val="1A1A1A"/>
          <w:sz w:val="22"/>
        </w:rPr>
        <w:t>$0.01</w:t>
      </w:r>
      <w:r>
        <w:rPr>
          <w:rFonts w:ascii="Calibri" w:hAnsi="Calibri"/>
          <w:b w:val="0"/>
          <w:i w:val="0"/>
          <w:color w:val="1A1A1A"/>
          <w:sz w:val="22"/>
        </w:rPr>
        <w:t xml:space="preserve"> (the "</w:t>
      </w:r>
      <w:r>
        <w:rPr>
          <w:rFonts w:ascii="Calibri" w:hAnsi="Calibri"/>
          <w:b/>
          <w:i w:val="0"/>
          <w:color w:val="1A1A1A"/>
          <w:sz w:val="22"/>
        </w:rPr>
        <w:t>Exercise Price</w:t>
      </w:r>
      <w:r>
        <w:rPr>
          <w:rFonts w:ascii="Calibri" w:hAnsi="Calibri"/>
          <w:b w:val="0"/>
          <w:i w:val="0"/>
          <w:color w:val="1A1A1A"/>
          <w:sz w:val="22"/>
        </w:rPr>
        <w:t>"), subject to adjustment as set forth in Section 4.</w:t>
      </w:r>
    </w:p>
    <w:p>
      <w:pPr>
        <w:keepNext/>
        <w:spacing w:before="200" w:after="60"/>
      </w:pPr>
      <w:r>
        <w:rPr>
          <w:rFonts w:ascii="Calibri" w:hAnsi="Calibri"/>
          <w:b/>
          <w:color w:val="2E4B85"/>
          <w:sz w:val="24"/>
        </w:rPr>
        <w:t>1.4 Immediate Vesting</w:t>
      </w:r>
    </w:p>
    <w:p>
      <w:pPr>
        <w:spacing w:before="0" w:after="80" w:line="276" w:lineRule="auto"/>
      </w:pPr>
      <w:r>
        <w:rPr>
          <w:rFonts w:ascii="Calibri" w:hAnsi="Calibri"/>
          <w:b w:val="0"/>
          <w:i w:val="0"/>
          <w:color w:val="1A1A1A"/>
          <w:sz w:val="22"/>
        </w:rPr>
        <w:t>This Warrant is fully vested and non-forfeitable as of the Original Issue Date.</w:t>
      </w:r>
    </w:p>
    <w:p>
      <w:pPr>
        <w:keepNext/>
        <w:spacing w:before="280" w:after="80"/>
      </w:pPr>
      <w:r>
        <w:rPr>
          <w:rFonts w:ascii="Calibri" w:hAnsi="Calibri"/>
          <w:b/>
          <w:color w:val="1F3864"/>
          <w:sz w:val="28"/>
        </w:rPr>
        <w:t>SECTION 2. EXERCISE MECHANICS</w:t>
      </w:r>
    </w:p>
    <w:p>
      <w:pPr>
        <w:keepNext/>
        <w:spacing w:before="200" w:after="60"/>
      </w:pPr>
      <w:r>
        <w:rPr>
          <w:rFonts w:ascii="Calibri" w:hAnsi="Calibri"/>
          <w:b/>
          <w:color w:val="2E4B85"/>
          <w:sz w:val="24"/>
        </w:rPr>
        <w:t>2.1 Manner of Exercise</w:t>
      </w:r>
    </w:p>
    <w:p>
      <w:pPr>
        <w:spacing w:before="0" w:after="80" w:line="276" w:lineRule="auto"/>
      </w:pPr>
      <w:r>
        <w:rPr>
          <w:rFonts w:ascii="Calibri" w:hAnsi="Calibri"/>
          <w:b w:val="0"/>
          <w:i w:val="0"/>
          <w:color w:val="1A1A1A"/>
          <w:sz w:val="22"/>
        </w:rPr>
        <w:t>This Warrant may be exercised by the Holder, in whole or in part, at any time and from time to time on or after the Original Issue Date and prior to 5:00 p.m. Pacific Time on the Expiration Date, by delivering to the Company at its principal executive offices (or such other office or agency of the Company as it may designate by notice in writing to the Holder):</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A completed and duly executed Notice of Exercise substantially in the form attached hereto as </w:t>
      </w:r>
      <w:r>
        <w:rPr>
          <w:rFonts w:ascii="Calibri" w:hAnsi="Calibri"/>
          <w:b/>
          <w:i w:val="0"/>
          <w:color w:val="1A1A1A"/>
          <w:sz w:val="22"/>
        </w:rPr>
        <w:t>Exhibit A</w:t>
      </w:r>
      <w:r>
        <w:rPr>
          <w:rFonts w:ascii="Calibri" w:hAnsi="Calibri"/>
          <w:b w:val="0"/>
          <w:i w:val="0"/>
          <w:color w:val="1A1A1A"/>
          <w:sz w:val="22"/>
        </w:rPr>
        <w:t>;</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This original Warrant (or, if lost, stolen, or destroyed, an Affidavit of Loss and customary indemnity agreement pursuant to Section 6.3);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Payment of the aggregate Exercise Price for the number of Warrant Shares being purchased, either by:</w:t>
      </w:r>
    </w:p>
    <w:p>
      <w:pPr>
        <w:spacing w:before="20" w:after="60" w:line="276" w:lineRule="auto"/>
        <w:ind w:left="576" w:hanging="360"/>
      </w:pPr>
      <w:r>
        <w:rPr>
          <w:rFonts w:ascii="Calibri" w:hAnsi="Calibri"/>
          <w:b/>
          <w:color w:val="2E4B85"/>
          <w:sz w:val="21"/>
        </w:rPr>
        <w:t xml:space="preserve">(i)  </w:t>
      </w:r>
      <w:r>
        <w:rPr>
          <w:rFonts w:ascii="Calibri" w:hAnsi="Calibri"/>
          <w:b/>
          <w:i w:val="0"/>
          <w:color w:val="1A1A1A"/>
          <w:sz w:val="22"/>
        </w:rPr>
        <w:t>Cash Exercise:</w:t>
      </w:r>
      <w:r>
        <w:rPr>
          <w:rFonts w:ascii="Calibri" w:hAnsi="Calibri"/>
          <w:b w:val="0"/>
          <w:i w:val="0"/>
          <w:color w:val="1A1A1A"/>
          <w:sz w:val="22"/>
        </w:rPr>
        <w:t xml:space="preserve"> Cash, certified or cashier's check, or wire transfer of immediately available funds to an account designated in writing by the Company; or</w:t>
      </w:r>
    </w:p>
    <w:p>
      <w:pPr>
        <w:spacing w:before="20" w:after="60" w:line="276" w:lineRule="auto"/>
        <w:ind w:left="576" w:hanging="360"/>
      </w:pPr>
      <w:r>
        <w:rPr>
          <w:rFonts w:ascii="Calibri" w:hAnsi="Calibri"/>
          <w:b/>
          <w:color w:val="2E4B85"/>
          <w:sz w:val="21"/>
        </w:rPr>
        <w:t xml:space="preserve">(ii)  </w:t>
      </w:r>
      <w:r>
        <w:rPr>
          <w:rFonts w:ascii="Calibri" w:hAnsi="Calibri"/>
          <w:b/>
          <w:i w:val="0"/>
          <w:color w:val="1A1A1A"/>
          <w:sz w:val="22"/>
        </w:rPr>
        <w:t>Net Exercise:</w:t>
      </w:r>
      <w:r>
        <w:rPr>
          <w:rFonts w:ascii="Calibri" w:hAnsi="Calibri"/>
          <w:b w:val="0"/>
          <w:i w:val="0"/>
          <w:color w:val="1A1A1A"/>
          <w:sz w:val="22"/>
        </w:rPr>
        <w:t xml:space="preserve"> Election of the cashless/net exercise feature described in Section 2.2 below.</w:t>
      </w:r>
    </w:p>
    <w:p>
      <w:pPr>
        <w:keepNext/>
        <w:spacing w:before="200" w:after="60"/>
      </w:pPr>
      <w:r>
        <w:rPr>
          <w:rFonts w:ascii="Calibri" w:hAnsi="Calibri"/>
          <w:b/>
          <w:color w:val="2E4B85"/>
          <w:sz w:val="24"/>
        </w:rPr>
        <w:t>2.2 Net Exercise / Cashless Exercise</w:t>
      </w:r>
    </w:p>
    <w:p>
      <w:pPr>
        <w:spacing w:before="0" w:after="80" w:line="276" w:lineRule="auto"/>
      </w:pPr>
      <w:r>
        <w:rPr>
          <w:rFonts w:ascii="Calibri" w:hAnsi="Calibri"/>
          <w:b w:val="0"/>
          <w:i w:val="0"/>
          <w:color w:val="1A1A1A"/>
          <w:sz w:val="22"/>
        </w:rPr>
        <w:t>In lieu of paying the aggregate Exercise Price in cash pursuant to Section 2.1(c)(i), the Holder may elect to exercise this Warrant on a net/cashless basis with respect to all or any portion of the Warrant Shares, in which event the Company shall issue to the Holder that number of fully paid and non-assessable Warrant Shares computed using the following formula:</w:t>
      </w:r>
    </w:p>
    <w:tbl>
      <w:tblPr>
        <w:tblW w:type="auto" w:w="0"/>
        <w:jc w:val="center"/>
        <w:tblLayout w:type="fixed"/>
        <w:tblLook w:firstColumn="1" w:firstRow="1" w:lastColumn="0" w:lastRow="0" w:noHBand="0" w:noVBand="1" w:val="04A0"/>
        <w:tblBorders>
          <w:top w:val="single" w:sz="6" w:space="0" w:color="2E4B85"/>
          <w:left w:val="single" w:sz="24" w:space="0" w:color="1F3864"/>
          <w:bottom w:val="single" w:sz="6" w:space="0" w:color="2E4B85"/>
          <w:right w:val="single" w:sz="6" w:space="0" w:color="2E4B85"/>
          <w:insideH w:val="none"/>
          <w:insideV w:val="none"/>
        </w:tblBorders>
      </w:tblPr>
      <w:tblGrid>
        <w:gridCol w:w="9360"/>
      </w:tblGrid>
      <w:tr>
        <w:tc>
          <w:tcPr>
            <w:tcW w:type="dxa" w:w="9360"/>
            <w:shd w:fill="EEF4FC"/>
            <w:tcMar>
              <w:top w:w="140" w:type="dxa"/>
              <w:bottom w:w="140" w:type="dxa"/>
              <w:left w:w="200" w:type="dxa"/>
              <w:right w:w="200" w:type="dxa"/>
            </w:tcMar>
          </w:tcPr>
          <w:p>
            <w:pPr>
              <w:spacing w:before="40" w:after="80"/>
              <w:jc w:val="center"/>
            </w:pPr>
            <w:r>
              <w:rPr>
                <w:rFonts w:ascii="Calibri" w:hAnsi="Calibri"/>
                <w:b/>
                <w:color w:val="1F3864"/>
                <w:sz w:val="20"/>
              </w:rPr>
              <w:t>✦  NET / CASHLESS EXERCISE FORMULA  ✦</w:t>
              <w:br/>
            </w:r>
            <w:r>
              <w:rPr>
                <w:rFonts w:ascii="Cambria" w:hAnsi="Cambria"/>
                <w:b/>
                <w:color w:val="1F3864"/>
                <w:sz w:val="24"/>
              </w:rPr>
              <w:t xml:space="preserve">        Y × (A - B)</w:t>
              <w:br/>
            </w:r>
            <w:r>
              <w:rPr>
                <w:rFonts w:ascii="Cambria" w:hAnsi="Cambria"/>
                <w:b/>
                <w:color w:val="1F3864"/>
                <w:sz w:val="24"/>
              </w:rPr>
              <w:t>X  =  ─────────────</w:t>
              <w:br/>
            </w:r>
            <w:r>
              <w:rPr>
                <w:rFonts w:ascii="Cambria" w:hAnsi="Cambria"/>
                <w:b/>
                <w:color w:val="1F3864"/>
                <w:sz w:val="24"/>
              </w:rPr>
              <w:t xml:space="preserve">            A      </w:t>
              <w:br/>
            </w:r>
          </w:p>
          <w:p>
            <w:pPr>
              <w:spacing w:before="80" w:after="40" w:line="276" w:lineRule="auto"/>
            </w:pPr>
            <w:r>
              <w:rPr>
                <w:rFonts w:ascii="Calibri" w:hAnsi="Calibri"/>
                <w:b/>
                <w:color w:val="1F3864"/>
                <w:sz w:val="20"/>
              </w:rPr>
              <w:t>Where:</w:t>
              <w:br/>
            </w:r>
            <w:r>
              <w:rPr>
                <w:rFonts w:ascii="Calibri" w:hAnsi="Calibri"/>
                <w:b w:val="0"/>
                <w:i w:val="0"/>
                <w:color w:val="1A1A1A"/>
                <w:sz w:val="20"/>
              </w:rPr>
              <w:t>• X = The net number of Warrant Shares to be issued to the Holder</w:t>
              <w:br/>
            </w:r>
            <w:r>
              <w:rPr>
                <w:rFonts w:ascii="Calibri" w:hAnsi="Calibri"/>
                <w:b w:val="0"/>
                <w:i w:val="0"/>
                <w:color w:val="1A1A1A"/>
                <w:sz w:val="20"/>
              </w:rPr>
              <w:t>• Y = The total number of Warrant Shares with respect to which this Warrant is being exercised</w:t>
              <w:br/>
            </w:r>
            <w:r>
              <w:rPr>
                <w:rFonts w:ascii="Calibri" w:hAnsi="Calibri"/>
                <w:b w:val="0"/>
                <w:i w:val="0"/>
                <w:color w:val="1A1A1A"/>
                <w:sz w:val="20"/>
              </w:rPr>
              <w:t>• A = The Fair Market Value (as defined in Section 2.3) of one Warrant Share as of the date of exercise</w:t>
              <w:br/>
            </w:r>
            <w:r>
              <w:rPr>
                <w:rFonts w:ascii="Calibri" w:hAnsi="Calibri"/>
                <w:b w:val="0"/>
                <w:i w:val="0"/>
                <w:color w:val="1A1A1A"/>
                <w:sz w:val="20"/>
              </w:rPr>
              <w:t>• B = The Exercise Price per Warrant Share ($0.01 per share, as adjusted)</w:t>
              <w:br/>
            </w:r>
          </w:p>
        </w:tc>
      </w:tr>
    </w:tbl>
    <w:p>
      <w:pPr>
        <w:spacing w:before="0" w:after="80"/>
      </w:pPr>
    </w:p>
    <w:p>
      <w:pPr>
        <w:spacing w:before="0" w:after="80" w:line="276" w:lineRule="auto"/>
      </w:pPr>
      <w:r>
        <w:rPr>
          <w:rFonts w:ascii="Calibri" w:hAnsi="Calibri"/>
          <w:b w:val="0"/>
          <w:i w:val="0"/>
          <w:color w:val="1A1A1A"/>
          <w:sz w:val="22"/>
        </w:rPr>
        <w:t xml:space="preserve">A form of Net Exercise Calculation is attached hereto as </w:t>
      </w:r>
      <w:r>
        <w:rPr>
          <w:rFonts w:ascii="Calibri" w:hAnsi="Calibri"/>
          <w:b/>
          <w:i w:val="0"/>
          <w:color w:val="1A1A1A"/>
          <w:sz w:val="22"/>
        </w:rPr>
        <w:t>Exhibit B</w:t>
      </w:r>
      <w:r>
        <w:rPr>
          <w:rFonts w:ascii="Calibri" w:hAnsi="Calibri"/>
          <w:b w:val="0"/>
          <w:i w:val="0"/>
          <w:color w:val="1A1A1A"/>
          <w:sz w:val="22"/>
        </w:rPr>
        <w:t>.</w:t>
      </w:r>
    </w:p>
    <w:p>
      <w:pPr>
        <w:keepNext/>
        <w:spacing w:before="200" w:after="60"/>
      </w:pPr>
      <w:r>
        <w:rPr>
          <w:rFonts w:ascii="Calibri" w:hAnsi="Calibri"/>
          <w:b/>
          <w:color w:val="2E4B85"/>
          <w:sz w:val="24"/>
        </w:rPr>
        <w:t>2.3 Fair Market Value Determination</w:t>
      </w:r>
    </w:p>
    <w:p>
      <w:pPr>
        <w:spacing w:before="0" w:after="80" w:line="276" w:lineRule="auto"/>
      </w:pPr>
      <w:r>
        <w:rPr>
          <w:rFonts w:ascii="Calibri" w:hAnsi="Calibri"/>
          <w:b w:val="0"/>
          <w:i w:val="0"/>
          <w:color w:val="1A1A1A"/>
          <w:sz w:val="22"/>
        </w:rPr>
        <w:t>For purposes of Section 2.2 and Section 5, the "</w:t>
      </w:r>
      <w:r>
        <w:rPr>
          <w:rFonts w:ascii="Calibri" w:hAnsi="Calibri"/>
          <w:b/>
          <w:i w:val="0"/>
          <w:color w:val="1A1A1A"/>
          <w:sz w:val="22"/>
        </w:rPr>
        <w:t>Fair Market Value</w:t>
      </w:r>
      <w:r>
        <w:rPr>
          <w:rFonts w:ascii="Calibri" w:hAnsi="Calibri"/>
          <w:b w:val="0"/>
          <w:i w:val="0"/>
          <w:color w:val="1A1A1A"/>
          <w:sz w:val="22"/>
        </w:rPr>
        <w:t>" of one Warrant Share shall be determined as follows: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w:t>
      </w:r>
      <w:r>
        <w:rPr>
          <w:rFonts w:ascii="Calibri" w:hAnsi="Calibri"/>
          <w:b/>
          <w:i w:val="0"/>
          <w:color w:val="1A1A1A"/>
          <w:sz w:val="22"/>
        </w:rPr>
        <w:t>Public Market:</w:t>
      </w:r>
      <w:r>
        <w:rPr>
          <w:rFonts w:ascii="Calibri" w:hAnsi="Calibri"/>
          <w:b w:val="0"/>
          <w:i w:val="0"/>
          <w:color w:val="1A1A1A"/>
          <w:sz w:val="22"/>
        </w:rPr>
        <w:t xml:space="preserve"> If the underlying security (or Common Stock into which it is convertible) is traded on a national securities exchange or over-the-counter market, the Fair Market Value shall be the average of the closing prices of such security on such exchange over the ten (10) consecutive trading days immediately preceding the date of exercise.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(b) </w:t>
      </w:r>
      <w:r>
        <w:rPr>
          <w:rFonts w:ascii="Calibri" w:hAnsi="Calibri"/>
          <w:b/>
          <w:i w:val="0"/>
          <w:color w:val="1A1A1A"/>
          <w:sz w:val="22"/>
        </w:rPr>
        <w:t>Acquisition / Liquidation:</w:t>
      </w:r>
      <w:r>
        <w:rPr>
          <w:rFonts w:ascii="Calibri" w:hAnsi="Calibri"/>
          <w:b w:val="0"/>
          <w:i w:val="0"/>
          <w:color w:val="1A1A1A"/>
          <w:sz w:val="22"/>
        </w:rPr>
        <w:t xml:space="preserve"> If the exercise is made in connection with an Acquisition, Deemed Liquidation Event, or Change of Control of the Company, the Fair Market Value shall be the per-share value of the consideration received or receivable by holders of such class or series of Preferred Stock in such transaction.</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(c) </w:t>
      </w:r>
      <w:r>
        <w:rPr>
          <w:rFonts w:ascii="Calibri" w:hAnsi="Calibri"/>
          <w:b/>
          <w:i w:val="0"/>
          <w:color w:val="1A1A1A"/>
          <w:sz w:val="22"/>
        </w:rPr>
        <w:t>Private Company Valuation:</w:t>
      </w:r>
      <w:r>
        <w:rPr>
          <w:rFonts w:ascii="Calibri" w:hAnsi="Calibri"/>
          <w:b w:val="0"/>
          <w:i w:val="0"/>
          <w:color w:val="1A1A1A"/>
          <w:sz w:val="22"/>
        </w:rPr>
        <w:t xml:space="preserve"> In all other cases, the Fair Market Value shall be determined in good faith by the Board; provided that if the Holder disagrees with such Board determination within ten (10) business days of receiving written notice thereof, the Company and Holder shall mutually select an independent nationally recognized valuation or accounting firm to determine the Fair Market Value, the costs of which shall be borne equally by the Company and the Holder.</w:t>
      </w:r>
    </w:p>
    <w:p>
      <w:pPr>
        <w:keepNext/>
        <w:spacing w:before="200" w:after="60"/>
      </w:pPr>
      <w:r>
        <w:rPr>
          <w:rFonts w:ascii="Calibri" w:hAnsi="Calibri"/>
          <w:b/>
          <w:color w:val="2E4B85"/>
          <w:sz w:val="24"/>
        </w:rPr>
        <w:t>2.4 Delivery of Shares and Certificates</w:t>
      </w:r>
    </w:p>
    <w:p>
      <w:pPr>
        <w:spacing w:before="0" w:after="80" w:line="276" w:lineRule="auto"/>
      </w:pPr>
      <w:r>
        <w:rPr>
          <w:rFonts w:ascii="Calibri" w:hAnsi="Calibri"/>
          <w:b w:val="0"/>
          <w:i w:val="0"/>
          <w:color w:val="1A1A1A"/>
          <w:sz w:val="22"/>
        </w:rPr>
        <w:t>Within three (3) business days following the delivery of the Notice of Exercise and compliance with Section 2.1 (the "</w:t>
      </w:r>
      <w:r>
        <w:rPr>
          <w:rFonts w:ascii="Calibri" w:hAnsi="Calibri"/>
          <w:b/>
          <w:i w:val="0"/>
          <w:color w:val="1A1A1A"/>
          <w:sz w:val="22"/>
        </w:rPr>
        <w:t>Share Delivery Date</w:t>
      </w:r>
      <w:r>
        <w:rPr>
          <w:rFonts w:ascii="Calibri" w:hAnsi="Calibri"/>
          <w:b w:val="0"/>
          <w:i w:val="0"/>
          <w:color w:val="1A1A1A"/>
          <w:sz w:val="22"/>
        </w:rPr>
        <w:t>"), the Company shall:</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Issue and deliver to the Holder, or to such name or names as the Holder may direct, a certificate or book-entry DRS statement representing the aggregate number of Warrant Shares to which the Holder is entitled;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In the event of a partial exercise, deliver to the Holder a new Warrant representing the unexercised portion of the Warrant Shares, in identical form and dated as of the Original Issue Date.</w:t>
      </w:r>
    </w:p>
    <w:p>
      <w:pPr>
        <w:spacing w:before="0" w:after="80" w:line="276" w:lineRule="auto"/>
      </w:pPr>
      <w:r>
        <w:rPr>
          <w:rFonts w:ascii="Calibri" w:hAnsi="Calibri"/>
          <w:b w:val="0"/>
          <w:i w:val="0"/>
          <w:color w:val="1A1A1A"/>
          <w:sz w:val="22"/>
        </w:rPr>
        <w:t>Upon delivery of the Notice of Exercise and payment of the Exercise Price (or election of Net Exercise), the Holder shall be deemed to have become the holder of record of the Warrant Shares represented by such exercise for all corporate and voting purposes, notwithstanding that the stock register or transfer books of the Company may then be closed or that certificates or book-entry statements representing such Warrant Shares have not yet been physically delivered.</w:t>
      </w:r>
    </w:p>
    <w:p>
      <w:pPr>
        <w:keepNext/>
        <w:spacing w:before="200" w:after="60"/>
      </w:pPr>
      <w:r>
        <w:rPr>
          <w:rFonts w:ascii="Calibri" w:hAnsi="Calibri"/>
          <w:b/>
          <w:color w:val="2E4B85"/>
          <w:sz w:val="24"/>
        </w:rPr>
        <w:t>2.5 Treatment upon Deemed Liquidation Event / Acquisition</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w:t>
      </w:r>
      <w:r>
        <w:rPr>
          <w:rFonts w:ascii="Calibri" w:hAnsi="Calibri"/>
          <w:b/>
          <w:i w:val="0"/>
          <w:color w:val="1A1A1A"/>
          <w:sz w:val="22"/>
        </w:rPr>
        <w:t>Notice Requirement.</w:t>
      </w:r>
      <w:r>
        <w:rPr>
          <w:rFonts w:ascii="Calibri" w:hAnsi="Calibri"/>
          <w:b w:val="0"/>
          <w:i w:val="0"/>
          <w:color w:val="1A1A1A"/>
          <w:sz w:val="22"/>
        </w:rPr>
        <w:t xml:space="preserve"> The Company shall provide the Holder with written notice of any proposed Acquisition, Change of Control, merger, consolidation, sale of substantially all assets, or Deemed Liquidation Event (as defined in the Company's Certificate of Incorporation) at least </w:t>
      </w:r>
      <w:r>
        <w:rPr>
          <w:rFonts w:ascii="Calibri" w:hAnsi="Calibri"/>
          <w:b/>
          <w:i w:val="0"/>
          <w:color w:val="1A1A1A"/>
          <w:sz w:val="22"/>
        </w:rPr>
        <w:t>twenty (20) business days</w:t>
      </w:r>
      <w:r>
        <w:rPr>
          <w:rFonts w:ascii="Calibri" w:hAnsi="Calibri"/>
          <w:b w:val="0"/>
          <w:i w:val="0"/>
          <w:color w:val="1A1A1A"/>
          <w:sz w:val="22"/>
        </w:rPr>
        <w:t xml:space="preserve"> prior to the anticipated closing date of such transaction.</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(b) </w:t>
      </w:r>
      <w:r>
        <w:rPr>
          <w:rFonts w:ascii="Calibri" w:hAnsi="Calibri"/>
          <w:b/>
          <w:i w:val="0"/>
          <w:color w:val="1A1A1A"/>
          <w:sz w:val="22"/>
        </w:rPr>
        <w:t>Exercise or Assumption.</w:t>
      </w:r>
      <w:r>
        <w:rPr>
          <w:rFonts w:ascii="Calibri" w:hAnsi="Calibri"/>
          <w:b w:val="0"/>
          <w:i w:val="0"/>
          <w:color w:val="1A1A1A"/>
          <w:sz w:val="22"/>
        </w:rPr>
        <w:t xml:space="preserve"> In connection with any such transaction, the Holder shall have the right, but not the obligation, to exercise this Warrant (including via Net Exercise) effective immediately prior to, and contingent upon, the consummation of such transaction.</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(c) </w:t>
      </w:r>
      <w:r>
        <w:rPr>
          <w:rFonts w:ascii="Calibri" w:hAnsi="Calibri"/>
          <w:b/>
          <w:i w:val="0"/>
          <w:color w:val="1A1A1A"/>
          <w:sz w:val="22"/>
        </w:rPr>
        <w:t>Automatic Cashless Conversion.</w:t>
      </w:r>
      <w:r>
        <w:rPr>
          <w:rFonts w:ascii="Calibri" w:hAnsi="Calibri"/>
          <w:b w:val="0"/>
          <w:i w:val="0"/>
          <w:color w:val="1A1A1A"/>
          <w:sz w:val="22"/>
        </w:rPr>
        <w:t xml:space="preserve"> To the extent this Warrant is neither exercised nor assumed by the acquiring or surviving entity pursuant to Section 4.2 upon the consummation of such transaction, this Warrant shall be deemed automatically exercised pursuant to the Net Exercise provisions of Section 2.2 immediately prior to the effective time of such transaction, and the Holder shall participate in the distribution of transaction proceeds pari passu with other holders of the underlying Preferred Stock.</w:t>
      </w:r>
    </w:p>
    <w:p>
      <w:pPr>
        <w:keepNext/>
        <w:spacing w:before="280" w:after="80"/>
      </w:pPr>
      <w:r>
        <w:rPr>
          <w:rFonts w:ascii="Calibri" w:hAnsi="Calibri"/>
          <w:b/>
          <w:color w:val="1F3864"/>
          <w:sz w:val="28"/>
        </w:rPr>
        <w:t>SECTION 3. COVENANTS OF THE COMPANY</w:t>
      </w:r>
    </w:p>
    <w:p>
      <w:pPr>
        <w:keepNext/>
        <w:spacing w:before="200" w:after="60"/>
      </w:pPr>
      <w:r>
        <w:rPr>
          <w:rFonts w:ascii="Calibri" w:hAnsi="Calibri"/>
          <w:b/>
          <w:color w:val="2E4B85"/>
          <w:sz w:val="24"/>
        </w:rPr>
        <w:t>3.1 Reservation of Shares</w:t>
      </w:r>
    </w:p>
    <w:p>
      <w:pPr>
        <w:spacing w:before="0" w:after="80" w:line="276" w:lineRule="auto"/>
      </w:pPr>
      <w:r>
        <w:rPr>
          <w:rFonts w:ascii="Calibri" w:hAnsi="Calibri"/>
          <w:b w:val="0"/>
          <w:i w:val="0"/>
          <w:color w:val="1A1A1A"/>
          <w:sz w:val="22"/>
        </w:rPr>
        <w:t>The Company covenants and agrees that it will at all times reserve and keep available out of its authorized and unissued capital stock, solely for the purpose of issuance upon the exercise of this Warrant:</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A sufficient number of shares of Preferred Stock to provide for the full exercise of this Warrant;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A sufficient number of shares of Common Stock to provide for the conversion of all such shares of Preferred Stock into Common Stock in accordance with the Company's Certificate of Incorporation.</w:t>
      </w:r>
    </w:p>
    <w:p>
      <w:pPr>
        <w:keepNext/>
        <w:spacing w:before="200" w:after="60"/>
      </w:pPr>
      <w:r>
        <w:rPr>
          <w:rFonts w:ascii="Calibri" w:hAnsi="Calibri"/>
          <w:b/>
          <w:color w:val="2E4B85"/>
          <w:sz w:val="24"/>
        </w:rPr>
        <w:t>3.2 Valid Issuance; Non-Assessable</w:t>
      </w:r>
    </w:p>
    <w:p>
      <w:pPr>
        <w:spacing w:before="0" w:after="80" w:line="276" w:lineRule="auto"/>
      </w:pPr>
      <w:r>
        <w:rPr>
          <w:rFonts w:ascii="Calibri" w:hAnsi="Calibri"/>
          <w:b w:val="0"/>
          <w:i w:val="0"/>
          <w:color w:val="1A1A1A"/>
          <w:sz w:val="22"/>
        </w:rPr>
        <w:t>The Company covenants and agrees that all Warrant Shares issued upon the proper exercise of this Warrant, and all shares of Common Stock issued upon the conversion of such Warrant Shares, will, upon issuance in accordance with the terms hereof, be: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Duly authorized, validly issued, fully paid, and non-assessable;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Free from all preemptive rights, taxes, liens, charges, and encumbrances with respect to the issuance thereof (other than restrictions under applicable federal and state securities laws and agreements to which the Holder is a party);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Issued in compliance with all applicable federal and state securities laws.</w:t>
      </w:r>
    </w:p>
    <w:p>
      <w:pPr>
        <w:keepNext/>
        <w:spacing w:before="200" w:after="60"/>
      </w:pPr>
      <w:r>
        <w:rPr>
          <w:rFonts w:ascii="Calibri" w:hAnsi="Calibri"/>
          <w:b/>
          <w:color w:val="2E4B85"/>
          <w:sz w:val="24"/>
        </w:rPr>
        <w:t>3.3 Corporate Status and Approvals</w:t>
      </w:r>
    </w:p>
    <w:p>
      <w:pPr>
        <w:spacing w:before="0" w:after="80" w:line="276" w:lineRule="auto"/>
      </w:pPr>
      <w:r>
        <w:rPr>
          <w:rFonts w:ascii="Calibri" w:hAnsi="Calibri"/>
          <w:b w:val="0"/>
          <w:i w:val="0"/>
          <w:color w:val="1A1A1A"/>
          <w:sz w:val="22"/>
        </w:rPr>
        <w:t>The Company represents and warrants that:</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It is a corporation duly organized, validly existing, and in good standing under the laws of the State of Delaware;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It has the requisite corporate power and authority to execute, deliver, and perform its obligations under this Warrant;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The execution, delivery, and performance of this Warrant have been duly authorized by all necessary corporate and stockholder action on the part of the Company.</w:t>
      </w:r>
    </w:p>
    <w:p>
      <w:pPr>
        <w:keepNext/>
        <w:spacing w:before="280" w:after="80"/>
      </w:pPr>
      <w:r>
        <w:rPr>
          <w:rFonts w:ascii="Calibri" w:hAnsi="Calibri"/>
          <w:b/>
          <w:color w:val="1F3864"/>
          <w:sz w:val="28"/>
        </w:rPr>
        <w:t>SECTION 4. ADJUSTMENTS AND ANTI-DILUTION</w:t>
      </w:r>
    </w:p>
    <w:p>
      <w:pPr>
        <w:keepNext/>
        <w:spacing w:before="200" w:after="60"/>
      </w:pPr>
      <w:r>
        <w:rPr>
          <w:rFonts w:ascii="Calibri" w:hAnsi="Calibri"/>
          <w:b/>
          <w:color w:val="2E4B85"/>
          <w:sz w:val="24"/>
        </w:rPr>
        <w:t>4.1 Stock Splits, Combinations, and Stock Dividends</w:t>
      </w:r>
    </w:p>
    <w:p>
      <w:pPr>
        <w:spacing w:before="0" w:after="80" w:line="276" w:lineRule="auto"/>
      </w:pPr>
      <w:r>
        <w:rPr>
          <w:rFonts w:ascii="Calibri" w:hAnsi="Calibri"/>
          <w:b w:val="0"/>
          <w:i w:val="0"/>
          <w:color w:val="1A1A1A"/>
          <w:sz w:val="22"/>
        </w:rPr>
        <w:t>If the Company shall at any time or from time to time after the Original Issue Date: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Subdivide, split, or redivide its outstanding shares of Preferred Stock into a greater number of shares;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Combine, reverse-split, or consolidate its outstanding shares of Preferred Stock into a smaller number of shares; or</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Pay a dividend or make a distribution to holders of Preferred Stock payable in shares of Preferred Stock or other capital stock;</w:t>
      </w:r>
    </w:p>
    <w:p>
      <w:pPr>
        <w:spacing w:before="0" w:after="80" w:line="276" w:lineRule="auto"/>
      </w:pPr>
      <w:r>
        <w:rPr>
          <w:rFonts w:ascii="Calibri" w:hAnsi="Calibri"/>
          <w:b w:val="0"/>
          <w:i w:val="0"/>
          <w:color w:val="1A1A1A"/>
          <w:sz w:val="22"/>
        </w:rPr>
        <w:t>then, and in each such case:</w:t>
      </w:r>
    </w:p>
    <w:p>
      <w:pPr>
        <w:spacing w:before="20" w:after="60" w:line="276" w:lineRule="auto"/>
        <w:ind w:left="576" w:hanging="360"/>
      </w:pPr>
      <w:r>
        <w:rPr>
          <w:rFonts w:ascii="Calibri" w:hAnsi="Calibri"/>
          <w:b/>
          <w:color w:val="2E4B85"/>
          <w:sz w:val="21"/>
        </w:rPr>
        <w:t xml:space="preserve">(i)  </w:t>
      </w:r>
      <w:r>
        <w:rPr>
          <w:rFonts w:ascii="Calibri" w:hAnsi="Calibri"/>
          <w:b w:val="0"/>
          <w:i w:val="0"/>
          <w:color w:val="1A1A1A"/>
          <w:sz w:val="22"/>
        </w:rPr>
        <w:t>The number of Warrant Shares issuable upon the exercise of this Warrant shall be proportionately increased (in the case of a subdivision or stock dividend) or decreased (in the case of a combination) to equal the number of shares that the Holder would have owned or been entitled to receive had this Warrant been exercised immediately prior to the effective date or record date of such event; and</w:t>
      </w:r>
    </w:p>
    <w:p>
      <w:pPr>
        <w:spacing w:before="20" w:after="60" w:line="276" w:lineRule="auto"/>
        <w:ind w:left="576" w:hanging="360"/>
      </w:pPr>
      <w:r>
        <w:rPr>
          <w:rFonts w:ascii="Calibri" w:hAnsi="Calibri"/>
          <w:b/>
          <w:color w:val="2E4B85"/>
          <w:sz w:val="21"/>
        </w:rPr>
        <w:t xml:space="preserve">(ii)  </w:t>
      </w:r>
      <w:r>
        <w:rPr>
          <w:rFonts w:ascii="Calibri" w:hAnsi="Calibri"/>
          <w:b w:val="0"/>
          <w:i w:val="0"/>
          <w:color w:val="1A1A1A"/>
          <w:sz w:val="22"/>
        </w:rPr>
        <w:t>The Exercise Price per share shall be adjusted to equal the product of the Exercise Price immediately prior to such event multiplied by a fraction, the numerator of which is the number of Warrant Shares issuable immediately prior to such event and the denominator of which is the number of Warrant Shares issuable immediately after such event.</w:t>
      </w:r>
    </w:p>
    <w:p>
      <w:pPr>
        <w:keepNext/>
        <w:spacing w:before="200" w:after="60"/>
      </w:pPr>
      <w:r>
        <w:rPr>
          <w:rFonts w:ascii="Calibri" w:hAnsi="Calibri"/>
          <w:b/>
          <w:color w:val="2E4B85"/>
          <w:sz w:val="24"/>
        </w:rPr>
        <w:t>4.2 Reorganizations, Reclassifications, and Mergers</w:t>
      </w:r>
    </w:p>
    <w:p>
      <w:pPr>
        <w:spacing w:before="0" w:after="80" w:line="276" w:lineRule="auto"/>
      </w:pPr>
      <w:r>
        <w:rPr>
          <w:rFonts w:ascii="Calibri" w:hAnsi="Calibri"/>
          <w:b w:val="0"/>
          <w:i w:val="0"/>
          <w:color w:val="1A1A1A"/>
          <w:sz w:val="22"/>
        </w:rPr>
        <w:t>If the Company shall at any time or from time to time after the Original Issue Date effect any capital reorganization, reclassification of shares of its capital stock (other than a subdivision, combination, or stock dividend covered by Section 4.1), statutory share exchange, consolidation, merger, or sale of all or substantially all of its assets, then lawful and adequate provision shall be made whereby the Holder shall thereafter have the right to purchase and receive upon exercise of this Warrant, in lieu of or in addition to the Warrant Shares immediately theretofore purchasable and receivable, the kind and amount of shares of stock, other securities, cash, or property receivable upon such reorganization, reclassification, exchange, consolidation, merger, or sale by a holder of the number of Warrant Shares that would have been received had this Warrant been exercised immediately prior to such event. The provisions of this Section 4.2 shall similarly apply to successive reorganizations, reclassifications, exchanges, consolidations, mergers, or asset sales.</w:t>
      </w:r>
    </w:p>
    <w:p>
      <w:pPr>
        <w:keepNext/>
        <w:spacing w:before="200" w:after="60"/>
      </w:pPr>
      <w:r>
        <w:rPr>
          <w:rFonts w:ascii="Calibri" w:hAnsi="Calibri"/>
          <w:b/>
          <w:color w:val="2E4B85"/>
          <w:sz w:val="24"/>
        </w:rPr>
        <w:t>4.3 Distributions of Assets, Debt, or Cash</w:t>
      </w:r>
    </w:p>
    <w:p>
      <w:pPr>
        <w:spacing w:before="0" w:after="80" w:line="276" w:lineRule="auto"/>
      </w:pPr>
      <w:r>
        <w:rPr>
          <w:rFonts w:ascii="Calibri" w:hAnsi="Calibri"/>
          <w:b w:val="0"/>
          <w:i w:val="0"/>
          <w:color w:val="1A1A1A"/>
          <w:sz w:val="22"/>
        </w:rPr>
        <w:t>If the Company shall at any time or from time to time declare or make any distribution of cash, indebtedness, securities, or other property to holders of its Preferred Stock (excluding regular cash dividends paid out of surplus or retained earnings and stock dividends covered by Section 4.1), then the Holder shall be entitled, upon exercise of this Warrant, to receive, in addition to the Warrant Shares, the cash, indebtedness, securities, or property that the Holder would have been entitled to receive had the Holder exercised this Warrant immediately prior to the record date for such distribution.</w:t>
      </w:r>
    </w:p>
    <w:p>
      <w:pPr>
        <w:keepNext/>
        <w:spacing w:before="200" w:after="60"/>
      </w:pPr>
      <w:r>
        <w:rPr>
          <w:rFonts w:ascii="Calibri" w:hAnsi="Calibri"/>
          <w:b/>
          <w:color w:val="2E4B85"/>
          <w:sz w:val="24"/>
        </w:rPr>
        <w:t>4.4 Certificate as to Adjustments</w:t>
      </w:r>
    </w:p>
    <w:p>
      <w:pPr>
        <w:spacing w:before="0" w:after="80" w:line="276" w:lineRule="auto"/>
      </w:pPr>
      <w:r>
        <w:rPr>
          <w:rFonts w:ascii="Calibri" w:hAnsi="Calibri"/>
          <w:b w:val="0"/>
          <w:i w:val="0"/>
          <w:color w:val="1A1A1A"/>
          <w:sz w:val="22"/>
        </w:rPr>
        <w:t>Upon the occurrence of each adjustment or readjustment of the Exercise Price or the number of Warrant Shares pursuant to this Section 4, the Company at its expense shall promptly compute such adjustment or readjustment in accordance with the terms hereof and prepare and furnish to the Holder a certificate signed by the Chief Executive Officer or Chief Financial Officer of the Company setting forth:</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Such adjustment or readjustment;</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The method of calculation and factual basis therefor;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The Exercise Price and the number of Warrant Shares in effect immediately after such adjustment or readjustment.</w:t>
      </w:r>
    </w:p>
    <w:p>
      <w:pPr>
        <w:keepNext/>
        <w:spacing w:before="280" w:after="80"/>
      </w:pPr>
      <w:r>
        <w:rPr>
          <w:rFonts w:ascii="Calibri" w:hAnsi="Calibri"/>
          <w:b/>
          <w:color w:val="1F3864"/>
          <w:sz w:val="28"/>
        </w:rPr>
        <w:t>SECTION 5. FRACTIONAL SHARES</w:t>
      </w:r>
    </w:p>
    <w:p>
      <w:pPr>
        <w:spacing w:before="0" w:after="80" w:line="276" w:lineRule="auto"/>
      </w:pPr>
      <w:r>
        <w:rPr>
          <w:rFonts w:ascii="Calibri" w:hAnsi="Calibri"/>
          <w:b w:val="0"/>
          <w:i w:val="0"/>
          <w:color w:val="1A1A1A"/>
          <w:sz w:val="22"/>
        </w:rPr>
        <w:t>The Company shall not be required to issue fractional shares of Preferred Stock upon the exercise of this Warrant. If any fraction of a share would be issuable upon the exercise of this Warrant (or specified portion thereof), the Company shall, in lieu of issuing such fractional share, pay to the Holder an amount in cash equal to such fraction multiplied by the Fair Market Value per share of such Preferred Stock on the date of exercise.</w:t>
      </w:r>
    </w:p>
    <w:p>
      <w:pPr>
        <w:keepNext/>
        <w:spacing w:before="280" w:after="80"/>
      </w:pPr>
      <w:r>
        <w:rPr>
          <w:rFonts w:ascii="Calibri" w:hAnsi="Calibri"/>
          <w:b/>
          <w:color w:val="1F3864"/>
          <w:sz w:val="28"/>
        </w:rPr>
        <w:t>SECTION 6. TRANSFER AND EXCHANGE</w:t>
      </w:r>
    </w:p>
    <w:p>
      <w:pPr>
        <w:keepNext/>
        <w:spacing w:before="200" w:after="60"/>
      </w:pPr>
      <w:r>
        <w:rPr>
          <w:rFonts w:ascii="Calibri" w:hAnsi="Calibri"/>
          <w:b/>
          <w:color w:val="2E4B85"/>
          <w:sz w:val="24"/>
        </w:rPr>
        <w:t>6.1 Securities Law Compliance; Legends</w:t>
      </w:r>
    </w:p>
    <w:p>
      <w:pPr>
        <w:spacing w:before="0" w:after="80" w:line="276" w:lineRule="auto"/>
      </w:pPr>
      <w:r>
        <w:rPr>
          <w:rFonts w:ascii="Calibri" w:hAnsi="Calibri"/>
          <w:b w:val="0"/>
          <w:i w:val="0"/>
          <w:color w:val="1A1A1A"/>
          <w:sz w:val="22"/>
        </w:rPr>
        <w:t>(a) The Holder understands and acknowledges that this Warrant and the Warrant Shares have not been registered under the Securities Act, and agrees not to sell, transfer, pledge, or hypothecate this Warrant or any Warrant Shares except in compliance with the Securities Act and applicable state securities laws.</w:t>
      </w:r>
    </w:p>
    <w:p>
      <w:pPr>
        <w:spacing w:before="0" w:after="80" w:line="276" w:lineRule="auto"/>
      </w:pPr>
      <w:r>
        <w:rPr>
          <w:rFonts w:ascii="Calibri" w:hAnsi="Calibri"/>
          <w:b w:val="0"/>
          <w:i w:val="0"/>
          <w:color w:val="1A1A1A"/>
          <w:sz w:val="22"/>
        </w:rPr>
        <w:t>(b) Each certificate or book-entry statement representing the Warrant Shares shall bear substantially the following legend (in addition to any legends required by applicable state securities laws or investor rights agreements):</w:t>
      </w:r>
    </w:p>
    <w:tbl>
      <w:tblPr>
        <w:tblW w:type="auto" w:w="0"/>
        <w:jc w:val="center"/>
        <w:tblLayout w:type="fixed"/>
        <w:tblLook w:firstColumn="1" w:firstRow="1" w:lastColumn="0" w:lastRow="0" w:noHBand="0" w:noVBand="1" w:val="04A0"/>
        <w:tblBorders>
          <w:top w:val="none"/>
          <w:left w:val="single" w:sz="24" w:space="0" w:color="1F3864"/>
          <w:bottom w:val="none"/>
          <w:right w:val="none"/>
          <w:insideH w:val="none"/>
          <w:insideV w:val="none"/>
        </w:tblBorders>
      </w:tblPr>
      <w:tblGrid>
        <w:gridCol w:w="9360"/>
      </w:tblGrid>
      <w:tr>
        <w:tc>
          <w:tcPr>
            <w:tcW w:type="dxa" w:w="9360"/>
            <w:shd w:fill="F7F9FC"/>
            <w:tcMar>
              <w:top w:w="140" w:type="dxa"/>
              <w:bottom w:w="140" w:type="dxa"/>
              <w:left w:w="180" w:type="dxa"/>
              <w:right w:w="180" w:type="dxa"/>
            </w:tcMar>
          </w:tcPr>
          <w:p>
            <w:pPr>
              <w:spacing w:before="40" w:after="60" w:line="276" w:lineRule="auto"/>
            </w:pPr>
            <w:r>
              <w:rPr>
                <w:rFonts w:ascii="Calibri" w:hAnsi="Calibri"/>
                <w:b/>
                <w:color w:val="1F3864"/>
                <w:sz w:val="22"/>
              </w:rPr>
              <w:t>MANDATORY SHARE RESTRICTIVE LEGEND</w:t>
              <w:br/>
            </w:r>
            <w:r>
              <w:rPr>
                <w:rFonts w:ascii="Calibri" w:hAnsi="Calibri"/>
                <w:b w:val="0"/>
                <w:i w:val="0"/>
                <w:color w:val="1A1A1A"/>
                <w:sz w:val="22"/>
              </w:rPr>
              <w:t>"THE SHARES REPRESENTED HEREBY HAVE NOT BEEN REGISTERED UNDER THE SECURITIES ACT OF 1933, AS AMENDED (THE 'SECURITIES ACT'), OR THE SECURITIES LAWS OF ANY STATE. THEY MAY NOT BE SOLD, OFFERED FOR SALE, TRANSFERRED, PLEDGED, OR HYPOTHECATED IN THE ABSENCE OF A REGISTRATION STATEMENT IN EFFECT UNDER THE SECURITIES ACT AND APPLICABLE STATE LAWS, OR AN OPINION OF COUNSEL REASONABLY SATISFACTORY TO THE COMPANY THAT SUCH REGISTRATION IS NOT REQUIRED."</w:t>
            </w:r>
          </w:p>
        </w:tc>
      </w:tr>
    </w:tbl>
    <w:p>
      <w:pPr>
        <w:spacing w:before="0" w:after="60"/>
      </w:pPr>
    </w:p>
    <w:p>
      <w:pPr>
        <w:keepNext/>
        <w:spacing w:before="200" w:after="60"/>
      </w:pPr>
      <w:r>
        <w:rPr>
          <w:rFonts w:ascii="Calibri" w:hAnsi="Calibri"/>
          <w:b/>
          <w:color w:val="2E4B85"/>
          <w:sz w:val="24"/>
        </w:rPr>
        <w:t>6.2 Permitted Transfers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w:t>
      </w:r>
      <w:r>
        <w:rPr>
          <w:rFonts w:ascii="Calibri" w:hAnsi="Calibri"/>
          <w:b/>
          <w:i w:val="0"/>
          <w:color w:val="1A1A1A"/>
          <w:sz w:val="22"/>
        </w:rPr>
        <w:t>Affiliate Transfers.</w:t>
      </w:r>
      <w:r>
        <w:rPr>
          <w:rFonts w:ascii="Calibri" w:hAnsi="Calibri"/>
          <w:b w:val="0"/>
          <w:i w:val="0"/>
          <w:color w:val="1A1A1A"/>
          <w:sz w:val="22"/>
        </w:rPr>
        <w:t xml:space="preserve"> The Holder may at any time, without the consent of the Company, assign or transfer all or any portion of this Warrant, and all rights and obligations hereunder, to:</w:t>
      </w:r>
    </w:p>
    <w:p>
      <w:pPr>
        <w:spacing w:before="20" w:after="60" w:line="276" w:lineRule="auto"/>
        <w:ind w:left="576" w:hanging="360"/>
      </w:pPr>
      <w:r>
        <w:rPr>
          <w:rFonts w:ascii="Calibri" w:hAnsi="Calibri"/>
          <w:b/>
          <w:color w:val="2E4B85"/>
          <w:sz w:val="21"/>
        </w:rPr>
        <w:t xml:space="preserve">(i)  </w:t>
      </w:r>
      <w:r>
        <w:rPr>
          <w:rFonts w:ascii="Calibri" w:hAnsi="Calibri"/>
          <w:b w:val="0"/>
          <w:i w:val="0"/>
          <w:color w:val="1A1A1A"/>
          <w:sz w:val="22"/>
        </w:rPr>
        <w:t>Any affiliate of Holder;</w:t>
      </w:r>
    </w:p>
    <w:p>
      <w:pPr>
        <w:spacing w:before="20" w:after="60" w:line="276" w:lineRule="auto"/>
        <w:ind w:left="576" w:hanging="360"/>
      </w:pPr>
      <w:r>
        <w:rPr>
          <w:rFonts w:ascii="Calibri" w:hAnsi="Calibri"/>
          <w:b/>
          <w:color w:val="2E4B85"/>
          <w:sz w:val="21"/>
        </w:rPr>
        <w:t xml:space="preserve">(ii)  </w:t>
      </w:r>
      <w:r>
        <w:rPr>
          <w:rFonts w:ascii="Calibri" w:hAnsi="Calibri"/>
          <w:b w:val="0"/>
          <w:i w:val="0"/>
          <w:color w:val="1A1A1A"/>
          <w:sz w:val="22"/>
        </w:rPr>
        <w:t>Any investment fund, partnership, or vehicle managed by or under common control or management with Holder, Capricorn Investment Group, or their respective affiliates; or</w:t>
      </w:r>
    </w:p>
    <w:p>
      <w:pPr>
        <w:spacing w:before="20" w:after="60" w:line="276" w:lineRule="auto"/>
        <w:ind w:left="576" w:hanging="360"/>
      </w:pPr>
      <w:r>
        <w:rPr>
          <w:rFonts w:ascii="Calibri" w:hAnsi="Calibri"/>
          <w:b/>
          <w:color w:val="2E4B85"/>
          <w:sz w:val="21"/>
        </w:rPr>
        <w:t xml:space="preserve">(iii)  </w:t>
      </w:r>
      <w:r>
        <w:rPr>
          <w:rFonts w:ascii="Calibri" w:hAnsi="Calibri"/>
          <w:b w:val="0"/>
          <w:i w:val="0"/>
          <w:color w:val="1A1A1A"/>
          <w:sz w:val="22"/>
        </w:rPr>
        <w:t>Any partner, member, stockholder, or beneficiary of Holder or its affiliates upon liquidation or distribution;</w:t>
      </w:r>
    </w:p>
    <w:p>
      <w:pPr>
        <w:spacing w:before="0" w:after="80" w:line="276" w:lineRule="auto"/>
        <w:ind w:left="360"/>
      </w:pPr>
      <w:r>
        <w:rPr>
          <w:rFonts w:ascii="Calibri" w:hAnsi="Calibri"/>
          <w:b w:val="0"/>
          <w:i w:val="0"/>
          <w:color w:val="1A1A1A"/>
          <w:sz w:val="22"/>
        </w:rPr>
        <w:t>provided that such transferee executes a written instrument agreeing to be bound by the terms and conditions of this Warrant and provides customary representations regarding accredited investor status.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(b) </w:t>
      </w:r>
      <w:r>
        <w:rPr>
          <w:rFonts w:ascii="Calibri" w:hAnsi="Calibri"/>
          <w:b/>
          <w:i w:val="0"/>
          <w:color w:val="1A1A1A"/>
          <w:sz w:val="22"/>
        </w:rPr>
        <w:t>Third-Party Transfers.</w:t>
      </w:r>
      <w:r>
        <w:rPr>
          <w:rFonts w:ascii="Calibri" w:hAnsi="Calibri"/>
          <w:b w:val="0"/>
          <w:i w:val="0"/>
          <w:color w:val="1A1A1A"/>
          <w:sz w:val="22"/>
        </w:rPr>
        <w:t xml:space="preserve"> Any transfer of this Warrant to a non-affiliate third party shall require the prior written consent of the Company, which consent shall not be unreasonably withheld, conditioned, or delayed.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(c) </w:t>
      </w:r>
      <w:r>
        <w:rPr>
          <w:rFonts w:ascii="Calibri" w:hAnsi="Calibri"/>
          <w:b/>
          <w:i w:val="0"/>
          <w:color w:val="1A1A1A"/>
          <w:sz w:val="22"/>
        </w:rPr>
        <w:t>Mechanics of Transfer.</w:t>
      </w:r>
      <w:r>
        <w:rPr>
          <w:rFonts w:ascii="Calibri" w:hAnsi="Calibri"/>
          <w:b w:val="0"/>
          <w:i w:val="0"/>
          <w:color w:val="1A1A1A"/>
          <w:sz w:val="22"/>
        </w:rPr>
        <w:t xml:space="preserve"> Upon surrender of this Warrant at the principal office of the Company, accompanied by a duly executed assignment form and payment of any applicable transfer taxes, the Company shall execute and deliver a new Warrant or Warrants of like tenor in the name of the transferee.</w:t>
      </w:r>
    </w:p>
    <w:p>
      <w:pPr>
        <w:keepNext/>
        <w:spacing w:before="200" w:after="60"/>
      </w:pPr>
      <w:r>
        <w:rPr>
          <w:rFonts w:ascii="Calibri" w:hAnsi="Calibri"/>
          <w:b/>
          <w:color w:val="2E4B85"/>
          <w:sz w:val="24"/>
        </w:rPr>
        <w:t>6.3 Replacement of Warrant</w:t>
      </w:r>
    </w:p>
    <w:p>
      <w:pPr>
        <w:spacing w:before="0" w:after="80" w:line="276" w:lineRule="auto"/>
      </w:pPr>
      <w:r>
        <w:rPr>
          <w:rFonts w:ascii="Calibri" w:hAnsi="Calibri"/>
          <w:b w:val="0"/>
          <w:i w:val="0"/>
          <w:color w:val="1A1A1A"/>
          <w:sz w:val="22"/>
        </w:rPr>
        <w:t>Upon receipt of evidence reasonably satisfactory to the Company of the loss, theft, destruction, or mutilation of this Warrant and, in the case of loss, theft, or destruction, upon receipt of an indemnity agreement reasonably satisfactory to the Company (without the requirement of posting a bond, unless required by Delaware law), or, in the case of mutilation, upon surrender and cancellation of this Warrant, the Company will execute and deliver to the Holder a new Warrant of like tenor and date.</w:t>
      </w:r>
    </w:p>
    <w:p>
      <w:pPr>
        <w:keepNext/>
        <w:spacing w:before="280" w:after="80"/>
      </w:pPr>
      <w:r>
        <w:rPr>
          <w:rFonts w:ascii="Calibri" w:hAnsi="Calibri"/>
          <w:b/>
          <w:color w:val="1F3864"/>
          <w:sz w:val="28"/>
        </w:rPr>
        <w:t>SECTION 7. NOTICES AND INFORMATION RIGHTS</w:t>
      </w:r>
    </w:p>
    <w:p>
      <w:pPr>
        <w:keepNext/>
        <w:spacing w:before="200" w:after="60"/>
      </w:pPr>
      <w:r>
        <w:rPr>
          <w:rFonts w:ascii="Calibri" w:hAnsi="Calibri"/>
          <w:b/>
          <w:color w:val="2E4B85"/>
          <w:sz w:val="24"/>
        </w:rPr>
        <w:t>7.1 Notice of Corporate Actions</w:t>
      </w:r>
    </w:p>
    <w:p>
      <w:pPr>
        <w:spacing w:before="0" w:after="80" w:line="276" w:lineRule="auto"/>
      </w:pPr>
      <w:r>
        <w:rPr>
          <w:rFonts w:ascii="Calibri" w:hAnsi="Calibri"/>
          <w:b w:val="0"/>
          <w:i w:val="0"/>
          <w:color w:val="1A1A1A"/>
          <w:sz w:val="22"/>
        </w:rPr>
        <w:t>In case the Company shall propose at any time:</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(a) To declare any dividend or distribution upon its capital stock, whether in cash, property, stock, or other securities;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(b) To offer for subscription or sale to the holders of any class or series of its capital stock any additional shares, options, warrants, or other convertible securities;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(c) To effect any capital reorganization, reclassification, recapitalization, merger, consolidation, share exchange, or sale of all or substantially all of its assets;</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(d) To consummate a Next Qualified Financing, initial public offering (IPO), or Deemed Liquidation Event; or</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(e) To effect a voluntary or involuntary dissolution, liquidation, or winding up;</w:t>
      </w:r>
    </w:p>
    <w:p>
      <w:pPr>
        <w:spacing w:before="0" w:after="80" w:line="276" w:lineRule="auto"/>
      </w:pPr>
      <w:r>
        <w:rPr>
          <w:rFonts w:ascii="Calibri" w:hAnsi="Calibri"/>
          <w:b w:val="0"/>
          <w:i w:val="0"/>
          <w:color w:val="1A1A1A"/>
          <w:sz w:val="22"/>
        </w:rPr>
        <w:t xml:space="preserve">then, in each such case, the Company shall cause to be mailed to the Holder at least </w:t>
      </w:r>
      <w:r>
        <w:rPr>
          <w:rFonts w:ascii="Calibri" w:hAnsi="Calibri"/>
          <w:b/>
          <w:i w:val="0"/>
          <w:color w:val="1A1A1A"/>
          <w:sz w:val="22"/>
        </w:rPr>
        <w:t>fifteen (15) business days</w:t>
      </w:r>
      <w:r>
        <w:rPr>
          <w:rFonts w:ascii="Calibri" w:hAnsi="Calibri"/>
          <w:b w:val="0"/>
          <w:i w:val="0"/>
          <w:color w:val="1A1A1A"/>
          <w:sz w:val="22"/>
        </w:rPr>
        <w:t xml:space="preserve"> (or twenty (20) business days in the case of an event under clause (c) or (d)) prior to the applicable record date, effective date, or anticipated closing date, a notice specifying such date and describing the material terms and conditions of the proposed transaction.</w:t>
      </w:r>
    </w:p>
    <w:p>
      <w:pPr>
        <w:keepNext/>
        <w:spacing w:before="200" w:after="60"/>
      </w:pPr>
      <w:r>
        <w:rPr>
          <w:rFonts w:ascii="Calibri" w:hAnsi="Calibri"/>
          <w:b/>
          <w:color w:val="2E4B85"/>
          <w:sz w:val="24"/>
        </w:rPr>
        <w:t>7.2 Periodic Financial Information</w:t>
      </w:r>
    </w:p>
    <w:p>
      <w:pPr>
        <w:spacing w:before="0" w:after="80" w:line="276" w:lineRule="auto"/>
      </w:pPr>
      <w:r>
        <w:rPr>
          <w:rFonts w:ascii="Calibri" w:hAnsi="Calibri"/>
          <w:b w:val="0"/>
          <w:i w:val="0"/>
          <w:color w:val="1A1A1A"/>
          <w:sz w:val="22"/>
        </w:rPr>
        <w:t>For so long as this Warrant remains outstanding and unexercised in whole or in part, the Company shall furnish to Holder:</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(a) </w:t>
      </w:r>
      <w:r>
        <w:rPr>
          <w:rFonts w:ascii="Calibri" w:hAnsi="Calibri"/>
          <w:b/>
          <w:i w:val="0"/>
          <w:color w:val="1A1A1A"/>
          <w:sz w:val="22"/>
        </w:rPr>
        <w:t>Quarterly Statements:</w:t>
      </w:r>
      <w:r>
        <w:rPr>
          <w:rFonts w:ascii="Calibri" w:hAnsi="Calibri"/>
          <w:b w:val="0"/>
          <w:i w:val="0"/>
          <w:color w:val="1A1A1A"/>
          <w:sz w:val="22"/>
        </w:rPr>
        <w:t xml:space="preserve"> Within forty-five (45) days after the end of each fiscal quarter of the Company, unaudited consolidated balance sheets, statements of income, and cash flows for such quarter;</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(b) </w:t>
      </w:r>
      <w:r>
        <w:rPr>
          <w:rFonts w:ascii="Calibri" w:hAnsi="Calibri"/>
          <w:b/>
          <w:i w:val="0"/>
          <w:color w:val="1A1A1A"/>
          <w:sz w:val="22"/>
        </w:rPr>
        <w:t>Annual Statements:</w:t>
      </w:r>
      <w:r>
        <w:rPr>
          <w:rFonts w:ascii="Calibri" w:hAnsi="Calibri"/>
          <w:b w:val="0"/>
          <w:i w:val="0"/>
          <w:color w:val="1A1A1A"/>
          <w:sz w:val="22"/>
        </w:rPr>
        <w:t xml:space="preserve"> Within one hundred twenty (120) days after the end of each fiscal year of the Company, audited consolidated financial statements of the Company prepared in accordance with GAAP by an independent certified public accounting firm; and</w:t>
      </w:r>
    </w:p>
    <w:p>
      <w:pPr>
        <w:spacing w:before="20" w:after="60" w:line="276" w:lineRule="auto"/>
        <w:ind w:left="360" w:hanging="216"/>
      </w:pPr>
      <w:r>
        <w:rPr>
          <w:rFonts w:ascii="Calibri" w:hAnsi="Calibri"/>
          <w:b/>
          <w:color w:val="1F3864"/>
          <w:sz w:val="20"/>
        </w:rPr>
        <w:t xml:space="preserve">•  </w:t>
      </w:r>
      <w:r>
        <w:rPr>
          <w:rFonts w:ascii="Calibri" w:hAnsi="Calibri"/>
          <w:b w:val="0"/>
          <w:i w:val="0"/>
          <w:color w:val="1A1A1A"/>
          <w:sz w:val="22"/>
        </w:rPr>
        <w:t xml:space="preserve">(c) </w:t>
      </w:r>
      <w:r>
        <w:rPr>
          <w:rFonts w:ascii="Calibri" w:hAnsi="Calibri"/>
          <w:b/>
          <w:i w:val="0"/>
          <w:color w:val="1A1A1A"/>
          <w:sz w:val="22"/>
        </w:rPr>
        <w:t>Budget:</w:t>
      </w:r>
      <w:r>
        <w:rPr>
          <w:rFonts w:ascii="Calibri" w:hAnsi="Calibri"/>
          <w:b w:val="0"/>
          <w:i w:val="0"/>
          <w:color w:val="1A1A1A"/>
          <w:sz w:val="22"/>
        </w:rPr>
        <w:t xml:space="preserve"> Promptly upon approval by the Board, an annual operating and capital budget for the subsequent fiscal year.</w:t>
      </w:r>
    </w:p>
    <w:p>
      <w:pPr>
        <w:keepNext/>
        <w:spacing w:before="200" w:after="60"/>
      </w:pPr>
      <w:r>
        <w:rPr>
          <w:rFonts w:ascii="Calibri" w:hAnsi="Calibri"/>
          <w:b/>
          <w:color w:val="2E4B85"/>
          <w:sz w:val="24"/>
        </w:rPr>
        <w:t>7.3 Registration Rights</w:t>
      </w:r>
    </w:p>
    <w:p>
      <w:pPr>
        <w:spacing w:before="0" w:after="80" w:line="276" w:lineRule="auto"/>
      </w:pPr>
      <w:r>
        <w:rPr>
          <w:rFonts w:ascii="Calibri" w:hAnsi="Calibri"/>
          <w:b w:val="0"/>
          <w:i w:val="0"/>
          <w:color w:val="1A1A1A"/>
          <w:sz w:val="22"/>
        </w:rPr>
        <w:t>The Company covenants that the Warrant Shares (and all shares of Common Stock issuable upon conversion of the Warrant Shares) shall be deemed "Registrable Securities" and shall be entitled to piggyback registration rights pari passu with the rights granted to major preferred stock investors in the Company's Investor Rights Agreement (or equivalent agreement) in connection with any registered public offering of the Company's equity securities.</w:t>
      </w:r>
    </w:p>
    <w:p>
      <w:pPr>
        <w:keepNext/>
        <w:spacing w:before="280" w:after="80"/>
      </w:pPr>
      <w:r>
        <w:rPr>
          <w:rFonts w:ascii="Calibri" w:hAnsi="Calibri"/>
          <w:b/>
          <w:color w:val="1F3864"/>
          <w:sz w:val="28"/>
        </w:rPr>
        <w:t>SECTION 8. MISCELLANEOUS</w:t>
      </w:r>
    </w:p>
    <w:p>
      <w:pPr>
        <w:keepNext/>
        <w:spacing w:before="200" w:after="60"/>
      </w:pPr>
      <w:r>
        <w:rPr>
          <w:rFonts w:ascii="Calibri" w:hAnsi="Calibri"/>
          <w:b/>
          <w:color w:val="2E4B85"/>
          <w:sz w:val="24"/>
        </w:rPr>
        <w:t>8.1 No Rights as Stockholder Prior to Exercise</w:t>
      </w:r>
    </w:p>
    <w:p>
      <w:pPr>
        <w:spacing w:before="0" w:after="80" w:line="276" w:lineRule="auto"/>
      </w:pPr>
      <w:r>
        <w:rPr>
          <w:rFonts w:ascii="Calibri" w:hAnsi="Calibri"/>
          <w:b w:val="0"/>
          <w:i w:val="0"/>
          <w:color w:val="1A1A1A"/>
          <w:sz w:val="22"/>
        </w:rPr>
        <w:t>Except as expressly provided herein (including Sections 4, 7, and 7.3), this Warrant does not entitle the Holder to any voting rights, dividend rights, liquidation preferences, or other rights as a stockholder of the Company prior to the valid exercise hereof.</w:t>
      </w:r>
    </w:p>
    <w:p>
      <w:pPr>
        <w:keepNext/>
        <w:spacing w:before="200" w:after="60"/>
      </w:pPr>
      <w:r>
        <w:rPr>
          <w:rFonts w:ascii="Calibri" w:hAnsi="Calibri"/>
          <w:b/>
          <w:color w:val="2E4B85"/>
          <w:sz w:val="24"/>
        </w:rPr>
        <w:t>8.2 Governing Law; Jurisdiction</w:t>
      </w:r>
    </w:p>
    <w:p>
      <w:pPr>
        <w:spacing w:before="0" w:after="80" w:line="276" w:lineRule="auto"/>
      </w:pPr>
      <w:r>
        <w:rPr>
          <w:rFonts w:ascii="Calibri" w:hAnsi="Calibri"/>
          <w:b w:val="0"/>
          <w:i w:val="0"/>
          <w:color w:val="1A1A1A"/>
          <w:sz w:val="22"/>
        </w:rPr>
        <w:t>This Warrant shall be governed by, and construed and enforced in accordance with, the internal laws of the State of Delaware, without giving effect to any choice or conflict of law provision or rule. Each party irrevocably and unconditionally submits to the exclusive jurisdiction of the Delaware Court of Chancery (or, if the Court of Chancery lacks subject matter jurisdiction, the federal or state courts located in New Castle County, Delaware) in any action or proceeding arising out of or relating to this Warrant.</w:t>
      </w:r>
    </w:p>
    <w:p>
      <w:pPr>
        <w:keepNext/>
        <w:spacing w:before="200" w:after="60"/>
      </w:pPr>
      <w:r>
        <w:rPr>
          <w:rFonts w:ascii="Calibri" w:hAnsi="Calibri"/>
          <w:b/>
          <w:color w:val="2E4B85"/>
          <w:sz w:val="24"/>
        </w:rPr>
        <w:t>8.3 Specific Performance</w:t>
      </w:r>
    </w:p>
    <w:p>
      <w:pPr>
        <w:spacing w:before="0" w:after="80" w:line="276" w:lineRule="auto"/>
      </w:pPr>
      <w:r>
        <w:rPr>
          <w:rFonts w:ascii="Calibri" w:hAnsi="Calibri"/>
          <w:b w:val="0"/>
          <w:i w:val="0"/>
          <w:color w:val="1A1A1A"/>
          <w:sz w:val="22"/>
        </w:rPr>
        <w:t>The Company acknowledges and agrees that irreparable damage would occur in the event that any of the provisions of this Warrant were not performed in accordance with their specific terms or were otherwise breached. Accordingly, the Holder shall be entitled to an injunction or injunctions to prevent breaches of this Warrant and to enforce specifically the terms and provisions hereof, this being in addition to any other remedy to which the Holder is entitled at law or in equity.</w:t>
      </w:r>
    </w:p>
    <w:p>
      <w:pPr>
        <w:keepNext/>
        <w:spacing w:before="200" w:after="60"/>
      </w:pPr>
      <w:r>
        <w:rPr>
          <w:rFonts w:ascii="Calibri" w:hAnsi="Calibri"/>
          <w:b/>
          <w:color w:val="2E4B85"/>
          <w:sz w:val="24"/>
        </w:rPr>
        <w:t>8.4 Amendments and Waivers</w:t>
      </w:r>
    </w:p>
    <w:p>
      <w:pPr>
        <w:spacing w:before="0" w:after="80" w:line="276" w:lineRule="auto"/>
      </w:pPr>
      <w:r>
        <w:rPr>
          <w:rFonts w:ascii="Calibri" w:hAnsi="Calibri"/>
          <w:b w:val="0"/>
          <w:i w:val="0"/>
          <w:color w:val="1A1A1A"/>
          <w:sz w:val="22"/>
        </w:rPr>
        <w:t>Any term of this Warrant may be amended, and the observance of any term of this Warrant may be waived (either generally or in a particular instance and either retroactively or prospectively), only with the prior written consent of the Company and the Holder.</w:t>
      </w:r>
    </w:p>
    <w:p>
      <w:pPr>
        <w:keepNext/>
        <w:spacing w:before="200" w:after="60"/>
      </w:pPr>
      <w:r>
        <w:rPr>
          <w:rFonts w:ascii="Calibri" w:hAnsi="Calibri"/>
          <w:b/>
          <w:color w:val="2E4B85"/>
          <w:sz w:val="24"/>
        </w:rPr>
        <w:t>8.5 Successors and Assigns</w:t>
      </w:r>
    </w:p>
    <w:p>
      <w:pPr>
        <w:spacing w:before="0" w:after="80" w:line="276" w:lineRule="auto"/>
      </w:pPr>
      <w:r>
        <w:rPr>
          <w:rFonts w:ascii="Calibri" w:hAnsi="Calibri"/>
          <w:b w:val="0"/>
          <w:i w:val="0"/>
          <w:color w:val="1A1A1A"/>
          <w:sz w:val="22"/>
        </w:rPr>
        <w:t>This Warrant and the rights and obligations hereunder shall be binding upon and inure to the benefit of the parties hereto and their respective successors and permitted assigns.</w:t>
      </w:r>
    </w:p>
    <w:p>
      <w:pPr>
        <w:keepNext/>
        <w:spacing w:before="200" w:after="60"/>
      </w:pPr>
      <w:r>
        <w:rPr>
          <w:rFonts w:ascii="Calibri" w:hAnsi="Calibri"/>
          <w:b/>
          <w:color w:val="2E4B85"/>
          <w:sz w:val="24"/>
        </w:rPr>
        <w:t>8.6 Severability</w:t>
      </w:r>
    </w:p>
    <w:p>
      <w:pPr>
        <w:spacing w:before="0" w:after="80" w:line="276" w:lineRule="auto"/>
      </w:pPr>
      <w:r>
        <w:rPr>
          <w:rFonts w:ascii="Calibri" w:hAnsi="Calibri"/>
          <w:b w:val="0"/>
          <w:i w:val="0"/>
          <w:color w:val="1A1A1A"/>
          <w:sz w:val="22"/>
        </w:rPr>
        <w:t>If one or more provisions of this Warrant are held to be unenforceable under applicable law, such provision shall be excluded from this Warrant and the balance of the Warrant shall be interpreted as if such provision were so excluded and shall be enforceable in accordance with its terms.</w:t>
      </w:r>
    </w:p>
    <w:p>
      <w:pPr>
        <w:keepNext/>
        <w:spacing w:before="200" w:after="60"/>
      </w:pPr>
      <w:r>
        <w:rPr>
          <w:rFonts w:ascii="Calibri" w:hAnsi="Calibri"/>
          <w:b/>
          <w:color w:val="2E4B85"/>
          <w:sz w:val="24"/>
        </w:rPr>
        <w:t>8.7 Counterparts; Electronic Delivery</w:t>
      </w:r>
    </w:p>
    <w:p>
      <w:pPr>
        <w:spacing w:before="0" w:after="80" w:line="276" w:lineRule="auto"/>
      </w:pPr>
      <w:r>
        <w:rPr>
          <w:rFonts w:ascii="Calibri" w:hAnsi="Calibri"/>
          <w:b w:val="0"/>
          <w:i w:val="0"/>
          <w:color w:val="1A1A1A"/>
          <w:sz w:val="22"/>
        </w:rPr>
        <w:t>This Warrant may be executed in one or more counterparts, each of which shall be deemed an original, but all of which together shall constitute one and the same instrument. Delivery of an executed signature page by electronic transmission (including PDF or electronic signature service) shall be effective as delivery of a manually executed counterpart.</w:t>
      </w:r>
    </w:p>
    <w:p>
      <w:pPr>
        <w:keepNext/>
        <w:spacing w:before="280" w:after="80"/>
      </w:pPr>
      <w:r>
        <w:rPr>
          <w:rFonts w:ascii="Calibri" w:hAnsi="Calibri"/>
          <w:b/>
          <w:color w:val="1F3864"/>
          <w:sz w:val="28"/>
        </w:rPr>
        <w:t>IN WITNESS WHEREOF</w:t>
      </w:r>
    </w:p>
    <w:p>
      <w:pPr>
        <w:keepNext/>
        <w:spacing w:before="240" w:after="160"/>
      </w:pPr>
      <w:r>
        <w:rPr>
          <w:rFonts w:ascii="Calibri" w:hAnsi="Calibri"/>
          <w:i/>
          <w:sz w:val="21"/>
        </w:rPr>
        <w:t>IN WITNESS WHEREOF, the parties hereto have caused this instrument to be executed by their duly authorized representatives as of the date first written above.</w:t>
      </w:r>
    </w:p>
    <w:tbl>
      <w:tblPr>
        <w:tblW w:type="auto" w:w="0"/>
        <w:jc w:val="center"/>
        <w:tblLayout w:type="fixed"/>
        <w:tblLook w:firstColumn="1" w:firstRow="1" w:lastColumn="0" w:lastRow="0" w:noHBand="0" w:noVBand="1" w:val="04A0"/>
        <w:tblBorders>
          <w:top w:val="none"/>
          <w:left w:val="none"/>
          <w:right w:val="none"/>
          <w:bottom w:val="none"/>
          <w:insideH w:val="none"/>
          <w:insideV w:val="none"/>
        </w:tblBorders>
      </w:tblPr>
      <w:tblGrid>
        <w:gridCol w:w="4680"/>
        <w:gridCol w:w="4680"/>
      </w:tblGrid>
      <w:tr>
        <w:trPr>
          <w:cantSplit/>
        </w:trPr>
        <w:tc>
          <w:tcPr>
            <w:tcW w:type="dxa" w:w="4680"/>
            <w:tcMar>
              <w:top w:w="80" w:type="dxa"/>
              <w:bottom w:w="80" w:type="dxa"/>
              <w:left w:w="100" w:type="dxa"/>
              <w:right w:w="100" w:type="dxa"/>
            </w:tcMar>
          </w:tcPr>
          <w:p>
            <w:pPr>
              <w:spacing w:before="80" w:after="320"/>
            </w:pPr>
            <w:r>
              <w:rPr>
                <w:rFonts w:ascii="Calibri" w:hAnsi="Calibri"/>
                <w:b/>
                <w:color w:val="1F3864"/>
                <w:sz w:val="22"/>
              </w:rPr>
              <w:t>ERTHOS, INC.</w:t>
              <w:br/>
            </w:r>
            <w:r>
              <w:rPr>
                <w:rFonts w:ascii="Calibri" w:hAnsi="Calibri"/>
                <w:b/>
                <w:sz w:val="21"/>
              </w:rPr>
              <w:t>By: _____________________________________</w:t>
              <w:br/>
            </w:r>
            <w:r>
              <w:rPr>
                <w:rFonts w:ascii="Calibri" w:hAnsi="Calibri"/>
                <w:sz w:val="20"/>
              </w:rPr>
              <w:t>Name: Jim Tyler</w:t>
              <w:br/>
            </w:r>
            <w:r>
              <w:rPr>
                <w:rFonts w:ascii="Calibri" w:hAnsi="Calibri"/>
                <w:sz w:val="20"/>
              </w:rPr>
              <w:t>Title: Chief Executive Officer</w:t>
              <w:br/>
            </w:r>
            <w:r>
              <w:rPr>
                <w:rFonts w:ascii="Calibri" w:hAnsi="Calibri"/>
                <w:sz w:val="20"/>
              </w:rPr>
              <w:t>Date: September 30, 2026</w:t>
            </w:r>
          </w:p>
        </w:tc>
        <w:tc>
          <w:tcPr>
            <w:tcW w:type="dxa" w:w="4680"/>
            <w:tcMar>
              <w:top w:w="80" w:type="dxa"/>
              <w:bottom w:w="80" w:type="dxa"/>
              <w:left w:w="100" w:type="dxa"/>
              <w:right w:w="100" w:type="dxa"/>
            </w:tcMar>
          </w:tcPr>
          <w:p>
            <w:pPr>
              <w:spacing w:before="80" w:after="320"/>
            </w:pPr>
            <w:r>
              <w:rPr>
                <w:rFonts w:ascii="Calibri" w:hAnsi="Calibri"/>
                <w:b/>
                <w:color w:val="1F3864"/>
                <w:sz w:val="22"/>
              </w:rPr>
              <w:t>PACIFIC SEQUOIA HOLDINGS, LLC</w:t>
              <w:br/>
              <w:t>(Acknowledged and Agreed)</w:t>
              <w:br/>
            </w:r>
            <w:r>
              <w:rPr>
                <w:rFonts w:ascii="Calibri" w:hAnsi="Calibri"/>
                <w:b/>
                <w:sz w:val="21"/>
              </w:rPr>
              <w:t>By: _____________________________________</w:t>
              <w:br/>
            </w:r>
            <w:r>
              <w:rPr>
                <w:rFonts w:ascii="Calibri" w:hAnsi="Calibri"/>
                <w:sz w:val="20"/>
              </w:rPr>
              <w:t>Name: Ion Yadigaroglu</w:t>
              <w:br/>
            </w:r>
            <w:r>
              <w:rPr>
                <w:rFonts w:ascii="Calibri" w:hAnsi="Calibri"/>
                <w:sz w:val="20"/>
              </w:rPr>
              <w:t>Title: Authorized Signatory</w:t>
              <w:br/>
            </w:r>
            <w:r>
              <w:rPr>
                <w:rFonts w:ascii="Calibri" w:hAnsi="Calibri"/>
                <w:sz w:val="20"/>
              </w:rPr>
              <w:t>Date: September 30, 2026</w:t>
            </w:r>
          </w:p>
        </w:tc>
      </w:tr>
    </w:tbl>
    <w:p>
      <w:pPr>
        <w:spacing w:before="80" w:after="80"/>
      </w:pPr>
    </w:p>
    <w:p>
      <w:r>
        <w:br w:type="page"/>
      </w:r>
    </w:p>
    <w:p>
      <w:pPr>
        <w:keepNext/>
        <w:spacing w:before="280" w:after="80"/>
      </w:pPr>
      <w:r>
        <w:rPr>
          <w:rFonts w:ascii="Calibri" w:hAnsi="Calibri"/>
          <w:b/>
          <w:color w:val="1F3864"/>
          <w:sz w:val="28"/>
        </w:rPr>
        <w:t>EXHIBIT A: FORM OF NOTICE OF EXERCISE</w:t>
      </w:r>
    </w:p>
    <w:p>
      <w:pPr>
        <w:spacing w:before="0" w:after="80" w:line="276" w:lineRule="auto"/>
      </w:pPr>
      <w:r>
        <w:rPr>
          <w:rFonts w:ascii="Calibri" w:hAnsi="Calibri"/>
          <w:b w:val="0"/>
          <w:i/>
          <w:color w:val="1A1A1A"/>
          <w:sz w:val="22"/>
        </w:rPr>
        <w:t>(To be executed by the registered Holder to exercise the Warrant)</w:t>
      </w:r>
    </w:p>
    <w:p>
      <w:pPr>
        <w:spacing w:before="0" w:after="80" w:line="276" w:lineRule="auto"/>
      </w:pPr>
      <w:r>
        <w:rPr>
          <w:rFonts w:ascii="Calibri" w:hAnsi="Calibri"/>
          <w:b/>
          <w:i w:val="0"/>
          <w:color w:val="1A1A1A"/>
          <w:sz w:val="22"/>
        </w:rPr>
        <w:t>TO: ERTHOS, INC.</w:t>
      </w:r>
      <w:r>
        <w:rPr>
          <w:rFonts w:ascii="Calibri" w:hAnsi="Calibri"/>
          <w:b w:val="0"/>
          <w:i w:val="0"/>
          <w:color w:val="1A1A1A"/>
          <w:sz w:val="22"/>
        </w:rPr>
        <w:br/>
        <w:t>Attn: Chief Executive Officer</w:t>
      </w:r>
    </w:p>
    <w:p>
      <w:pPr>
        <w:spacing w:before="0" w:after="80" w:line="276" w:lineRule="auto"/>
      </w:pPr>
      <w:r>
        <w:rPr>
          <w:rFonts w:ascii="Calibri" w:hAnsi="Calibri"/>
          <w:b w:val="0"/>
          <w:i w:val="0"/>
          <w:color w:val="1A1A1A"/>
          <w:sz w:val="22"/>
        </w:rPr>
        <w:t>The undersigned Holder hereby irrevocably elects to exercise the Warrant to Purchase Preferred Stock, Warrant No. PSH-2026-01, dated as of September 30, 2026 (the "</w:t>
      </w:r>
      <w:r>
        <w:rPr>
          <w:rFonts w:ascii="Calibri" w:hAnsi="Calibri"/>
          <w:b/>
          <w:i w:val="0"/>
          <w:color w:val="1A1A1A"/>
          <w:sz w:val="22"/>
        </w:rPr>
        <w:t>Warrant</w:t>
      </w:r>
      <w:r>
        <w:rPr>
          <w:rFonts w:ascii="Calibri" w:hAnsi="Calibri"/>
          <w:b w:val="0"/>
          <w:i w:val="0"/>
          <w:color w:val="1A1A1A"/>
          <w:sz w:val="22"/>
        </w:rPr>
        <w:t>"), as follows:</w:t>
      </w:r>
    </w:p>
    <w:p>
      <w:pPr>
        <w:keepNext/>
        <w:spacing w:before="160" w:after="40"/>
      </w:pPr>
      <w:r>
        <w:rPr>
          <w:rFonts w:ascii="Calibri" w:hAnsi="Calibri"/>
          <w:b/>
          <w:color w:val="1F3864"/>
          <w:sz w:val="22"/>
        </w:rPr>
        <w:t>1. Election of Exercise Method (Check one):</w:t>
      </w:r>
    </w:p>
    <w:p>
      <w:pPr>
        <w:spacing w:before="0" w:after="80" w:line="276" w:lineRule="auto"/>
        <w:ind w:left="360"/>
      </w:pPr>
      <w:r>
        <w:rPr>
          <w:rFonts w:ascii="Calibri" w:hAnsi="Calibri"/>
          <w:b w:val="0"/>
          <w:i w:val="0"/>
          <w:color w:val="1A1A1A"/>
          <w:sz w:val="22"/>
        </w:rPr>
        <w:t xml:space="preserve">[   ]  </w:t>
      </w:r>
      <w:r>
        <w:rPr>
          <w:rFonts w:ascii="Calibri" w:hAnsi="Calibri"/>
          <w:b/>
          <w:i w:val="0"/>
          <w:color w:val="1A1A1A"/>
          <w:sz w:val="22"/>
        </w:rPr>
        <w:t>(a) Cash Exercise:</w:t>
      </w:r>
      <w:r>
        <w:rPr>
          <w:rFonts w:ascii="Calibri" w:hAnsi="Calibri"/>
          <w:b w:val="0"/>
          <w:i w:val="0"/>
          <w:color w:val="1A1A1A"/>
          <w:sz w:val="22"/>
        </w:rPr>
        <w:t xml:space="preserve"> The undersigned elects to purchase _________________ Warrant Shares pursuant to Section 2.1 of the Warrant and delivers herewith payment of $_________________ (representing the aggregate Exercise Price of $0.01 per share) by wire transfer or certified check.</w:t>
      </w:r>
    </w:p>
    <w:p>
      <w:pPr>
        <w:spacing w:before="0" w:after="80" w:line="276" w:lineRule="auto"/>
        <w:ind w:left="360"/>
      </w:pPr>
      <w:r>
        <w:rPr>
          <w:rFonts w:ascii="Calibri" w:hAnsi="Calibri"/>
          <w:b w:val="0"/>
          <w:i w:val="0"/>
          <w:color w:val="1A1A1A"/>
          <w:sz w:val="22"/>
        </w:rPr>
        <w:t xml:space="preserve">[   ]  </w:t>
      </w:r>
      <w:r>
        <w:rPr>
          <w:rFonts w:ascii="Calibri" w:hAnsi="Calibri"/>
          <w:b/>
          <w:i w:val="0"/>
          <w:color w:val="1A1A1A"/>
          <w:sz w:val="22"/>
        </w:rPr>
        <w:t>(b) Net / Cashless Exercise:</w:t>
      </w:r>
      <w:r>
        <w:rPr>
          <w:rFonts w:ascii="Calibri" w:hAnsi="Calibri"/>
          <w:b w:val="0"/>
          <w:i w:val="0"/>
          <w:color w:val="1A1A1A"/>
          <w:sz w:val="22"/>
        </w:rPr>
        <w:t xml:space="preserve"> The undersigned elects to exercise the Warrant on a net/cashless basis with respect to _________________ Warrant Shares pursuant to Section 2.2 of the Warrant, and requests the net issuance of Warrant Shares calculated in accordance with the formula set forth therein.</w:t>
      </w:r>
    </w:p>
    <w:p>
      <w:pPr>
        <w:keepNext/>
        <w:spacing w:before="160" w:after="40"/>
      </w:pPr>
      <w:r>
        <w:rPr>
          <w:rFonts w:ascii="Calibri" w:hAnsi="Calibri"/>
          <w:b/>
          <w:color w:val="1F3864"/>
          <w:sz w:val="22"/>
        </w:rPr>
        <w:t>2. Underlying Security Classification (Check one):</w:t>
      </w:r>
    </w:p>
    <w:p>
      <w:pPr>
        <w:spacing w:before="0" w:after="80" w:line="276" w:lineRule="auto"/>
        <w:ind w:left="360"/>
      </w:pPr>
      <w:r>
        <w:rPr>
          <w:rFonts w:ascii="Calibri" w:hAnsi="Calibri"/>
          <w:b w:val="0"/>
          <w:i w:val="0"/>
          <w:color w:val="1A1A1A"/>
          <w:sz w:val="22"/>
        </w:rPr>
        <w:t xml:space="preserve">[   ]  </w:t>
      </w:r>
      <w:r>
        <w:rPr>
          <w:rFonts w:ascii="Calibri" w:hAnsi="Calibri"/>
          <w:b/>
          <w:i w:val="0"/>
          <w:color w:val="1A1A1A"/>
          <w:sz w:val="22"/>
        </w:rPr>
        <w:t>Series C Preferred Stock</w:t>
      </w:r>
      <w:r>
        <w:rPr>
          <w:rFonts w:ascii="Calibri" w:hAnsi="Calibri"/>
          <w:b w:val="0"/>
          <w:i w:val="0"/>
          <w:color w:val="1A1A1A"/>
          <w:sz w:val="22"/>
        </w:rPr>
        <w:t xml:space="preserve"> (Next Qualified Financing)</w:t>
      </w:r>
    </w:p>
    <w:p>
      <w:pPr>
        <w:spacing w:before="0" w:after="80" w:line="276" w:lineRule="auto"/>
        <w:ind w:left="360"/>
      </w:pPr>
      <w:r>
        <w:rPr>
          <w:rFonts w:ascii="Calibri" w:hAnsi="Calibri"/>
          <w:b w:val="0"/>
          <w:i w:val="0"/>
          <w:color w:val="1A1A1A"/>
          <w:sz w:val="22"/>
        </w:rPr>
        <w:t xml:space="preserve">[   ]  </w:t>
      </w:r>
      <w:r>
        <w:rPr>
          <w:rFonts w:ascii="Calibri" w:hAnsi="Calibri"/>
          <w:b/>
          <w:i w:val="0"/>
          <w:color w:val="1A1A1A"/>
          <w:sz w:val="22"/>
        </w:rPr>
        <w:t>Series B Preferred Stock / Most Senior Preferred Stock</w:t>
      </w:r>
      <w:r>
        <w:rPr>
          <w:rFonts w:ascii="Calibri" w:hAnsi="Calibri"/>
          <w:b w:val="0"/>
          <w:i w:val="0"/>
          <w:color w:val="1A1A1A"/>
          <w:sz w:val="22"/>
        </w:rPr>
        <w:t xml:space="preserve"> (Fallback)</w:t>
      </w:r>
    </w:p>
    <w:p>
      <w:pPr>
        <w:keepNext/>
        <w:spacing w:before="160" w:after="40"/>
      </w:pPr>
      <w:r>
        <w:rPr>
          <w:rFonts w:ascii="Calibri" w:hAnsi="Calibri"/>
          <w:b/>
          <w:color w:val="1F3864"/>
          <w:sz w:val="22"/>
        </w:rPr>
        <w:t>3. Issuance and Delivery Instructions:</w:t>
      </w:r>
    </w:p>
    <w:p>
      <w:pPr>
        <w:spacing w:before="0" w:after="80" w:line="276" w:lineRule="auto"/>
      </w:pPr>
      <w:r>
        <w:rPr>
          <w:rFonts w:ascii="Calibri" w:hAnsi="Calibri"/>
          <w:b w:val="0"/>
          <w:i w:val="0"/>
          <w:color w:val="1A1A1A"/>
          <w:sz w:val="22"/>
        </w:rPr>
        <w:t>Please issue the certificates or book-entry DRS statement representing the Warrant Shares in the name of:</w:t>
      </w:r>
    </w:p>
    <w:tbl>
      <w:tblPr>
        <w:tblW w:type="auto" w:w="0"/>
        <w:jc w:val="center"/>
        <w:tblLayout w:type="fixed"/>
        <w:tblLook w:firstColumn="1" w:firstRow="1" w:lastColumn="0" w:lastRow="0" w:noHBand="0" w:noVBand="1" w:val="04A0"/>
        <w:tblBorders>
          <w:top w:val="single" w:sz="4" w:space="0" w:color="D7DCE4"/>
          <w:bottom w:val="single" w:sz="4" w:space="0" w:color="D7DCE4"/>
          <w:left w:val="none"/>
          <w:right w:val="none"/>
          <w:insideH w:val="single" w:sz="4" w:space="0" w:color="D7DCE4"/>
          <w:insideV w:val="none"/>
        </w:tblBorders>
      </w:tblPr>
      <w:tblGrid>
        <w:gridCol w:w="3600"/>
        <w:gridCol w:w="5760"/>
      </w:tblGrid>
      <w:tr>
        <w:trPr>
          <w:tblHeader/>
          <w:cantSplit/>
        </w:trPr>
        <w:tc>
          <w:tcPr>
            <w:tcW w:type="dxa" w:w="4680"/>
            <w:shd w:fill="1F3864"/>
            <w:tcMar>
              <w:top w:w="140" w:type="dxa"/>
              <w:bottom w:w="140" w:type="dxa"/>
              <w:left w:w="160" w:type="dxa"/>
              <w:right w:w="160" w:type="dxa"/>
            </w:tcMar>
          </w:tcPr>
          <w:p>
            <w:pPr>
              <w:spacing w:before="0" w:after="0"/>
            </w:pPr>
            <w:r>
              <w:rPr>
                <w:rFonts w:ascii="Calibri" w:hAnsi="Calibri"/>
                <w:b/>
                <w:color w:val="FFFFFF"/>
                <w:sz w:val="20"/>
              </w:rPr>
              <w:t>FIELD</w:t>
            </w:r>
          </w:p>
        </w:tc>
        <w:tc>
          <w:tcPr>
            <w:tcW w:type="dxa" w:w="4680"/>
            <w:shd w:fill="1F3864"/>
            <w:tcMar>
              <w:top w:w="140" w:type="dxa"/>
              <w:bottom w:w="140" w:type="dxa"/>
              <w:left w:w="160" w:type="dxa"/>
              <w:right w:w="160" w:type="dxa"/>
            </w:tcMar>
          </w:tcPr>
          <w:p>
            <w:pPr>
              <w:spacing w:before="0" w:after="0"/>
            </w:pPr>
            <w:r>
              <w:rPr>
                <w:rFonts w:ascii="Calibri" w:hAnsi="Calibri"/>
                <w:b/>
                <w:color w:val="FFFFFF"/>
                <w:sz w:val="20"/>
              </w:rPr>
              <w:t>HOLDER INSTRUCTIONS</w:t>
            </w:r>
          </w:p>
        </w:tc>
      </w:tr>
      <w:tr>
        <w:trPr>
          <w:cantSplit/>
        </w:trPr>
        <w:tc>
          <w:tcPr>
            <w:tcW w:type="dxa" w:w="3600"/>
            <w:shd w:fill="FFFFFF"/>
            <w:tcMar>
              <w:top w:w="100" w:type="dxa"/>
              <w:bottom w:w="100" w:type="dxa"/>
              <w:left w:w="160" w:type="dxa"/>
              <w:right w:w="160" w:type="dxa"/>
            </w:tcMar>
          </w:tcPr>
          <w:p>
            <w:pPr>
              <w:spacing w:before="40" w:after="40" w:line="276" w:lineRule="auto"/>
            </w:pPr>
            <w:r>
              <w:rPr>
                <w:rFonts w:ascii="Calibri" w:hAnsi="Calibri"/>
                <w:b/>
                <w:color w:val="1F3864"/>
                <w:sz w:val="20"/>
              </w:rPr>
              <w:t>Registered Name / Entity</w:t>
            </w:r>
          </w:p>
        </w:tc>
        <w:tc>
          <w:tcPr>
            <w:tcW w:type="dxa" w:w="576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__________________________________________________________________</w:t>
            </w:r>
          </w:p>
        </w:tc>
      </w:tr>
      <w:tr>
        <w:trPr>
          <w:cantSplit/>
        </w:trPr>
        <w:tc>
          <w:tcPr>
            <w:tcW w:type="dxa" w:w="3600"/>
            <w:shd w:fill="F7F9FC"/>
            <w:tcMar>
              <w:top w:w="100" w:type="dxa"/>
              <w:bottom w:w="100" w:type="dxa"/>
              <w:left w:w="160" w:type="dxa"/>
              <w:right w:w="160" w:type="dxa"/>
            </w:tcMar>
          </w:tcPr>
          <w:p>
            <w:pPr>
              <w:spacing w:before="40" w:after="40" w:line="276" w:lineRule="auto"/>
            </w:pPr>
            <w:r>
              <w:rPr>
                <w:rFonts w:ascii="Calibri" w:hAnsi="Calibri"/>
                <w:b/>
                <w:color w:val="1F3864"/>
                <w:sz w:val="20"/>
              </w:rPr>
              <w:t>Taxpayer ID / SSN</w:t>
            </w:r>
          </w:p>
        </w:tc>
        <w:tc>
          <w:tcPr>
            <w:tcW w:type="dxa" w:w="576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__________________________________________________________________</w:t>
            </w:r>
          </w:p>
        </w:tc>
      </w:tr>
      <w:tr>
        <w:trPr>
          <w:cantSplit/>
        </w:trPr>
        <w:tc>
          <w:tcPr>
            <w:tcW w:type="dxa" w:w="3600"/>
            <w:shd w:fill="FFFFFF"/>
            <w:tcMar>
              <w:top w:w="100" w:type="dxa"/>
              <w:bottom w:w="100" w:type="dxa"/>
              <w:left w:w="160" w:type="dxa"/>
              <w:right w:w="160" w:type="dxa"/>
            </w:tcMar>
          </w:tcPr>
          <w:p>
            <w:pPr>
              <w:spacing w:before="40" w:after="40" w:line="276" w:lineRule="auto"/>
            </w:pPr>
            <w:r>
              <w:rPr>
                <w:rFonts w:ascii="Calibri" w:hAnsi="Calibri"/>
                <w:b/>
                <w:color w:val="1F3864"/>
                <w:sz w:val="20"/>
              </w:rPr>
              <w:t>Principal Legal Address</w:t>
            </w:r>
          </w:p>
        </w:tc>
        <w:tc>
          <w:tcPr>
            <w:tcW w:type="dxa" w:w="576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__________________________________________________________________</w:t>
            </w:r>
          </w:p>
        </w:tc>
      </w:tr>
      <w:tr>
        <w:trPr>
          <w:cantSplit/>
        </w:trPr>
        <w:tc>
          <w:tcPr>
            <w:tcW w:type="dxa" w:w="3600"/>
            <w:shd w:fill="F7F9FC"/>
            <w:tcMar>
              <w:top w:w="100" w:type="dxa"/>
              <w:bottom w:w="100" w:type="dxa"/>
              <w:left w:w="160" w:type="dxa"/>
              <w:right w:w="160" w:type="dxa"/>
            </w:tcMar>
          </w:tcPr>
          <w:p>
            <w:pPr>
              <w:spacing w:before="40" w:after="40" w:line="276" w:lineRule="auto"/>
            </w:pPr>
            <w:r>
              <w:rPr>
                <w:rFonts w:ascii="Calibri" w:hAnsi="Calibri"/>
                <w:b/>
                <w:color w:val="1F3864"/>
                <w:sz w:val="20"/>
              </w:rPr>
              <w:t>Email / Electronic Notice</w:t>
            </w:r>
          </w:p>
        </w:tc>
        <w:tc>
          <w:tcPr>
            <w:tcW w:type="dxa" w:w="576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__________________________________________________________________</w:t>
            </w:r>
          </w:p>
        </w:tc>
      </w:tr>
      <w:tr>
        <w:trPr>
          <w:cantSplit/>
        </w:trPr>
        <w:tc>
          <w:tcPr>
            <w:tcW w:type="dxa" w:w="3600"/>
            <w:shd w:fill="FFFFFF"/>
            <w:tcMar>
              <w:top w:w="100" w:type="dxa"/>
              <w:bottom w:w="100" w:type="dxa"/>
              <w:left w:w="160" w:type="dxa"/>
              <w:right w:w="160" w:type="dxa"/>
            </w:tcMar>
          </w:tcPr>
          <w:p>
            <w:pPr>
              <w:spacing w:before="40" w:after="40" w:line="276" w:lineRule="auto"/>
            </w:pPr>
            <w:r>
              <w:rPr>
                <w:rFonts w:ascii="Calibri" w:hAnsi="Calibri"/>
                <w:b/>
                <w:color w:val="1F3864"/>
                <w:sz w:val="20"/>
              </w:rPr>
              <w:t>DRS / DTC Instructions</w:t>
            </w:r>
          </w:p>
        </w:tc>
        <w:tc>
          <w:tcPr>
            <w:tcW w:type="dxa" w:w="576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__________________________________________________________________</w:t>
            </w:r>
          </w:p>
        </w:tc>
      </w:tr>
    </w:tbl>
    <w:p>
      <w:pPr>
        <w:spacing w:before="40" w:after="80"/>
      </w:pPr>
    </w:p>
    <w:p>
      <w:pPr>
        <w:keepNext/>
        <w:spacing w:before="160" w:after="40"/>
      </w:pPr>
      <w:r>
        <w:rPr>
          <w:rFonts w:ascii="Calibri" w:hAnsi="Calibri"/>
          <w:b/>
          <w:color w:val="1F3864"/>
          <w:sz w:val="22"/>
        </w:rPr>
        <w:t>4. Representations of Holder:</w:t>
      </w:r>
    </w:p>
    <w:p>
      <w:pPr>
        <w:spacing w:before="0" w:after="80" w:line="276" w:lineRule="auto"/>
      </w:pPr>
      <w:r>
        <w:rPr>
          <w:rFonts w:ascii="Calibri" w:hAnsi="Calibri"/>
          <w:b w:val="0"/>
          <w:i w:val="0"/>
          <w:color w:val="1A1A1A"/>
          <w:sz w:val="22"/>
        </w:rPr>
        <w:t>The undersigned represents and warrants that: (a) it is acquiring the Warrant Shares for its own account for investment purposes only and not with a view to, or for resale in connection with, any public distribution thereof; (b) it is an "accredited investor" within the meaning of Rule 501(a) of Regulation D under the Securities Act; and (c) it has such knowledge and experience in financial and business matters that it is capable of evaluating the merits and risks of the investment.</w:t>
      </w:r>
    </w:p>
    <w:p>
      <w:pPr>
        <w:spacing w:before="240" w:after="80"/>
      </w:pPr>
      <w:r>
        <w:rPr>
          <w:rFonts w:ascii="Calibri" w:hAnsi="Calibri"/>
          <w:b w:val="0"/>
          <w:i w:val="0"/>
          <w:color w:val="1A1A1A"/>
          <w:sz w:val="22"/>
        </w:rPr>
        <w:t>Dated: ______________________, 20____</w:t>
        <w:br/>
        <w:br/>
      </w:r>
      <w:r>
        <w:rPr>
          <w:rFonts w:ascii="Calibri" w:hAnsi="Calibri"/>
          <w:b/>
          <w:i w:val="0"/>
          <w:color w:val="1A1A1A"/>
          <w:sz w:val="22"/>
        </w:rPr>
        <w:t>PACIFIC SEQUOIA HOLDINGS, LLC</w:t>
      </w:r>
      <w:r>
        <w:rPr>
          <w:rFonts w:ascii="Calibri" w:hAnsi="Calibri"/>
          <w:b w:val="0"/>
          <w:i w:val="0"/>
          <w:color w:val="1A1A1A"/>
          <w:sz w:val="22"/>
        </w:rPr>
        <w:br/>
        <w:br/>
        <w:t>By: __________________________________________</w:t>
        <w:br/>
        <w:t>Name: ________________________________________</w:t>
        <w:br/>
        <w:t>Title: _______________________________________</w:t>
      </w:r>
    </w:p>
    <w:p>
      <w:r>
        <w:br w:type="page"/>
      </w:r>
    </w:p>
    <w:p>
      <w:pPr>
        <w:keepNext/>
        <w:spacing w:before="280" w:after="80"/>
      </w:pPr>
      <w:r>
        <w:rPr>
          <w:rFonts w:ascii="Calibri" w:hAnsi="Calibri"/>
          <w:b/>
          <w:color w:val="1F3864"/>
          <w:sz w:val="28"/>
        </w:rPr>
        <w:t>EXHIBIT B: FORM OF NET EXERCISE CALCULATION</w:t>
      </w:r>
    </w:p>
    <w:p>
      <w:pPr>
        <w:spacing w:before="0" w:after="80" w:line="276" w:lineRule="auto"/>
      </w:pPr>
      <w:r>
        <w:rPr>
          <w:rFonts w:ascii="Calibri" w:hAnsi="Calibri"/>
          <w:b w:val="0"/>
          <w:i/>
          <w:color w:val="1A1A1A"/>
          <w:sz w:val="22"/>
        </w:rPr>
        <w:t>(For Net / Cashless Exercise pursuant to Section 2.2 of the Warrant)</w:t>
      </w:r>
    </w:p>
    <w:p>
      <w:pPr>
        <w:spacing w:before="0" w:after="80" w:line="276" w:lineRule="auto"/>
      </w:pPr>
      <w:r>
        <w:rPr>
          <w:rFonts w:ascii="Calibri" w:hAnsi="Calibri"/>
          <w:b w:val="0"/>
          <w:i w:val="0"/>
          <w:color w:val="1A1A1A"/>
          <w:sz w:val="22"/>
        </w:rPr>
        <w:t>Pursuant to Section 2.2 of the Warrant to Purchase Preferred Stock (Warrant No. PSH-2026-01), the net number of Warrant Shares to be issued shall be computed as follows:</w:t>
      </w:r>
    </w:p>
    <w:tbl>
      <w:tblPr>
        <w:tblW w:type="auto" w:w="0"/>
        <w:jc w:val="center"/>
        <w:tblLayout w:type="fixed"/>
        <w:tblLook w:firstColumn="1" w:firstRow="1" w:lastColumn="0" w:lastRow="0" w:noHBand="0" w:noVBand="1" w:val="04A0"/>
        <w:tblBorders>
          <w:top w:val="single" w:sz="6" w:space="0" w:color="2E4B85"/>
          <w:left w:val="single" w:sz="24" w:space="0" w:color="1F3864"/>
          <w:bottom w:val="single" w:sz="6" w:space="0" w:color="2E4B85"/>
          <w:right w:val="single" w:sz="6" w:space="0" w:color="2E4B85"/>
          <w:insideH w:val="none"/>
          <w:insideV w:val="none"/>
        </w:tblBorders>
      </w:tblPr>
      <w:tblGrid>
        <w:gridCol w:w="9360"/>
      </w:tblGrid>
      <w:tr>
        <w:tc>
          <w:tcPr>
            <w:tcW w:type="dxa" w:w="9360"/>
            <w:shd w:fill="EEF4FC"/>
            <w:tcMar>
              <w:top w:w="140" w:type="dxa"/>
              <w:bottom w:w="140" w:type="dxa"/>
              <w:left w:w="200" w:type="dxa"/>
              <w:right w:w="200" w:type="dxa"/>
            </w:tcMar>
          </w:tcPr>
          <w:p>
            <w:pPr>
              <w:spacing w:before="40" w:after="80"/>
              <w:jc w:val="center"/>
            </w:pPr>
            <w:r>
              <w:rPr>
                <w:rFonts w:ascii="Calibri" w:hAnsi="Calibri"/>
                <w:b/>
                <w:color w:val="1F3864"/>
                <w:sz w:val="20"/>
              </w:rPr>
              <w:t>✦  NET EXERCISE FORMULA  ✦</w:t>
              <w:br/>
            </w:r>
            <w:r>
              <w:rPr>
                <w:rFonts w:ascii="Cambria" w:hAnsi="Cambria"/>
                <w:b/>
                <w:color w:val="1F3864"/>
                <w:sz w:val="24"/>
              </w:rPr>
              <w:t xml:space="preserve">        Y × (A - B)</w:t>
              <w:br/>
            </w:r>
            <w:r>
              <w:rPr>
                <w:rFonts w:ascii="Cambria" w:hAnsi="Cambria"/>
                <w:b/>
                <w:color w:val="1F3864"/>
                <w:sz w:val="24"/>
              </w:rPr>
              <w:t>X  =  ─────────────</w:t>
              <w:br/>
            </w:r>
            <w:r>
              <w:rPr>
                <w:rFonts w:ascii="Cambria" w:hAnsi="Cambria"/>
                <w:b/>
                <w:color w:val="1F3864"/>
                <w:sz w:val="24"/>
              </w:rPr>
              <w:t xml:space="preserve">            A      </w:t>
              <w:br/>
            </w:r>
          </w:p>
        </w:tc>
      </w:tr>
    </w:tbl>
    <w:p>
      <w:pPr>
        <w:spacing w:before="0" w:after="80"/>
      </w:pPr>
    </w:p>
    <w:tbl>
      <w:tblPr>
        <w:tblW w:type="auto" w:w="0"/>
        <w:jc w:val="center"/>
        <w:tblLayout w:type="fixed"/>
        <w:tblLook w:firstColumn="1" w:firstRow="1" w:lastColumn="0" w:lastRow="0" w:noHBand="0" w:noVBand="1" w:val="04A0"/>
        <w:tblBorders>
          <w:top w:val="single" w:sz="4" w:space="0" w:color="D7DCE4"/>
          <w:bottom w:val="single" w:sz="4" w:space="0" w:color="D7DCE4"/>
          <w:left w:val="none"/>
          <w:right w:val="none"/>
          <w:insideH w:val="single" w:sz="4" w:space="0" w:color="D7DCE4"/>
          <w:insideV w:val="none"/>
        </w:tblBorders>
      </w:tblPr>
      <w:tblGrid>
        <w:gridCol w:w="4320"/>
        <w:gridCol w:w="5040"/>
      </w:tblGrid>
      <w:tr>
        <w:trPr>
          <w:tblHeader/>
          <w:cantSplit/>
        </w:trPr>
        <w:tc>
          <w:tcPr>
            <w:tcW w:type="dxa" w:w="4680"/>
            <w:shd w:fill="1F3864"/>
            <w:tcMar>
              <w:top w:w="140" w:type="dxa"/>
              <w:bottom w:w="140" w:type="dxa"/>
              <w:left w:w="160" w:type="dxa"/>
              <w:right w:w="160" w:type="dxa"/>
            </w:tcMar>
          </w:tcPr>
          <w:p>
            <w:pPr>
              <w:spacing w:before="0" w:after="0"/>
            </w:pPr>
            <w:r>
              <w:rPr>
                <w:rFonts w:ascii="Calibri" w:hAnsi="Calibri"/>
                <w:b/>
                <w:color w:val="FFFFFF"/>
                <w:sz w:val="20"/>
              </w:rPr>
              <w:t>CALCULATION STEP / VARIABLE</w:t>
            </w:r>
          </w:p>
        </w:tc>
        <w:tc>
          <w:tcPr>
            <w:tcW w:type="dxa" w:w="4680"/>
            <w:shd w:fill="1F3864"/>
            <w:tcMar>
              <w:top w:w="140" w:type="dxa"/>
              <w:bottom w:w="140" w:type="dxa"/>
              <w:left w:w="160" w:type="dxa"/>
              <w:right w:w="160" w:type="dxa"/>
            </w:tcMar>
          </w:tcPr>
          <w:p>
            <w:pPr>
              <w:spacing w:before="0" w:after="0"/>
            </w:pPr>
            <w:r>
              <w:rPr>
                <w:rFonts w:ascii="Calibri" w:hAnsi="Calibri"/>
                <w:b/>
                <w:color w:val="FFFFFF"/>
                <w:sz w:val="20"/>
              </w:rPr>
              <w:t>DETERMINATION / AMOUNT</w:t>
            </w:r>
          </w:p>
        </w:tc>
      </w:tr>
      <w:tr>
        <w:trPr>
          <w:cantSplit/>
        </w:trPr>
        <w:tc>
          <w:tcPr>
            <w:tcW w:type="dxa" w:w="4320"/>
            <w:shd w:fill="FFFFFF"/>
            <w:tcMar>
              <w:top w:w="100" w:type="dxa"/>
              <w:bottom w:w="100" w:type="dxa"/>
              <w:left w:w="160" w:type="dxa"/>
              <w:right w:w="160" w:type="dxa"/>
            </w:tcMar>
          </w:tcPr>
          <w:p>
            <w:pPr>
              <w:spacing w:before="40" w:after="40" w:line="276" w:lineRule="auto"/>
            </w:pPr>
            <w:r>
              <w:rPr>
                <w:rFonts w:ascii="Calibri" w:hAnsi="Calibri"/>
                <w:b/>
                <w:color w:val="1F3864"/>
                <w:sz w:val="20"/>
              </w:rPr>
              <w:t>1. Total Warrant Shares Exercised (Y)</w:t>
            </w:r>
          </w:p>
        </w:tc>
        <w:tc>
          <w:tcPr>
            <w:tcW w:type="dxa" w:w="504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Y = ________________________________ shares</w:t>
            </w:r>
          </w:p>
        </w:tc>
      </w:tr>
      <w:tr>
        <w:trPr>
          <w:cantSplit/>
        </w:trPr>
        <w:tc>
          <w:tcPr>
            <w:tcW w:type="dxa" w:w="4320"/>
            <w:shd w:fill="F7F9FC"/>
            <w:tcMar>
              <w:top w:w="100" w:type="dxa"/>
              <w:bottom w:w="100" w:type="dxa"/>
              <w:left w:w="160" w:type="dxa"/>
              <w:right w:w="160" w:type="dxa"/>
            </w:tcMar>
          </w:tcPr>
          <w:p>
            <w:pPr>
              <w:spacing w:before="40" w:after="40" w:line="276" w:lineRule="auto"/>
            </w:pPr>
            <w:r>
              <w:rPr>
                <w:rFonts w:ascii="Calibri" w:hAnsi="Calibri"/>
                <w:b/>
                <w:color w:val="1F3864"/>
                <w:sz w:val="20"/>
              </w:rPr>
              <w:t>2. Fair Market Value Per Share (A)</w:t>
            </w:r>
          </w:p>
        </w:tc>
        <w:tc>
          <w:tcPr>
            <w:tcW w:type="dxa" w:w="504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A = $_______________________________ per share</w:t>
              <w:br/>
              <w:t>(Determined in accordance with Section 2.3 of the Warrant)</w:t>
            </w:r>
          </w:p>
        </w:tc>
      </w:tr>
      <w:tr>
        <w:trPr>
          <w:cantSplit/>
        </w:trPr>
        <w:tc>
          <w:tcPr>
            <w:tcW w:type="dxa" w:w="4320"/>
            <w:shd w:fill="FFFFFF"/>
            <w:tcMar>
              <w:top w:w="100" w:type="dxa"/>
              <w:bottom w:w="100" w:type="dxa"/>
              <w:left w:w="160" w:type="dxa"/>
              <w:right w:w="160" w:type="dxa"/>
            </w:tcMar>
          </w:tcPr>
          <w:p>
            <w:pPr>
              <w:spacing w:before="40" w:after="40" w:line="276" w:lineRule="auto"/>
            </w:pPr>
            <w:r>
              <w:rPr>
                <w:rFonts w:ascii="Calibri" w:hAnsi="Calibri"/>
                <w:b/>
                <w:color w:val="1F3864"/>
                <w:sz w:val="20"/>
              </w:rPr>
              <w:t>3. Exercise Price Per Share (B)</w:t>
            </w:r>
          </w:p>
        </w:tc>
        <w:tc>
          <w:tcPr>
            <w:tcW w:type="dxa" w:w="504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B = $0.01 per share (Initial Exercise Price)</w:t>
            </w:r>
          </w:p>
        </w:tc>
      </w:tr>
      <w:tr>
        <w:trPr>
          <w:cantSplit/>
        </w:trPr>
        <w:tc>
          <w:tcPr>
            <w:tcW w:type="dxa" w:w="4320"/>
            <w:shd w:fill="F7F9FC"/>
            <w:tcMar>
              <w:top w:w="100" w:type="dxa"/>
              <w:bottom w:w="100" w:type="dxa"/>
              <w:left w:w="160" w:type="dxa"/>
              <w:right w:w="160" w:type="dxa"/>
            </w:tcMar>
          </w:tcPr>
          <w:p>
            <w:pPr>
              <w:spacing w:before="40" w:after="40" w:line="276" w:lineRule="auto"/>
            </w:pPr>
            <w:r>
              <w:rPr>
                <w:rFonts w:ascii="Calibri" w:hAnsi="Calibri"/>
                <w:b/>
                <w:color w:val="1F3864"/>
                <w:sz w:val="20"/>
              </w:rPr>
              <w:t>4. Spread Per Share (A - B)</w:t>
            </w:r>
          </w:p>
        </w:tc>
        <w:tc>
          <w:tcPr>
            <w:tcW w:type="dxa" w:w="504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(A - B) = $___________________________ per share</w:t>
            </w:r>
          </w:p>
        </w:tc>
      </w:tr>
      <w:tr>
        <w:trPr>
          <w:cantSplit/>
        </w:trPr>
        <w:tc>
          <w:tcPr>
            <w:tcW w:type="dxa" w:w="4320"/>
            <w:shd w:fill="FFFFFF"/>
            <w:tcMar>
              <w:top w:w="100" w:type="dxa"/>
              <w:bottom w:w="100" w:type="dxa"/>
              <w:left w:w="160" w:type="dxa"/>
              <w:right w:w="160" w:type="dxa"/>
            </w:tcMar>
          </w:tcPr>
          <w:p>
            <w:pPr>
              <w:spacing w:before="40" w:after="40" w:line="276" w:lineRule="auto"/>
            </w:pPr>
            <w:r>
              <w:rPr>
                <w:rFonts w:ascii="Calibri" w:hAnsi="Calibri"/>
                <w:b/>
                <w:color w:val="1F3864"/>
                <w:sz w:val="20"/>
              </w:rPr>
              <w:t>5. Net Warrant Shares to be Issued (X)</w:t>
            </w:r>
          </w:p>
        </w:tc>
        <w:tc>
          <w:tcPr>
            <w:tcW w:type="dxa" w:w="5040"/>
            <w:shd w:fill="FFFFFF"/>
            <w:tcMar>
              <w:top w:w="100" w:type="dxa"/>
              <w:bottom w:w="100" w:type="dxa"/>
              <w:left w:w="160" w:type="dxa"/>
              <w:right w:w="160" w:type="dxa"/>
            </w:tcMar>
          </w:tcPr>
          <w:p>
            <w:pPr>
              <w:spacing w:before="40" w:after="40" w:line="276" w:lineRule="auto"/>
            </w:pPr>
            <w:r>
              <w:rPr>
                <w:rFonts w:ascii="Calibri" w:hAnsi="Calibri"/>
                <w:b w:val="0"/>
                <w:i w:val="0"/>
                <w:color w:val="1A1A1A"/>
                <w:sz w:val="20"/>
              </w:rPr>
              <w:t>X = [Y × (A - 0.01)] / A</w:t>
              <w:br/>
              <w:t>X = ________________________________ shares</w:t>
            </w:r>
          </w:p>
        </w:tc>
      </w:tr>
      <w:tr>
        <w:trPr>
          <w:cantSplit/>
        </w:trPr>
        <w:tc>
          <w:tcPr>
            <w:tcW w:type="dxa" w:w="4320"/>
            <w:shd w:fill="F7F9FC"/>
            <w:tcMar>
              <w:top w:w="100" w:type="dxa"/>
              <w:bottom w:w="100" w:type="dxa"/>
              <w:left w:w="160" w:type="dxa"/>
              <w:right w:w="160" w:type="dxa"/>
            </w:tcMar>
          </w:tcPr>
          <w:p>
            <w:pPr>
              <w:spacing w:before="40" w:after="40" w:line="276" w:lineRule="auto"/>
            </w:pPr>
            <w:r>
              <w:rPr>
                <w:rFonts w:ascii="Calibri" w:hAnsi="Calibri"/>
                <w:b/>
                <w:color w:val="1F3864"/>
                <w:sz w:val="20"/>
              </w:rPr>
              <w:t>6. Fractional Share Cash Settlement</w:t>
            </w:r>
          </w:p>
        </w:tc>
        <w:tc>
          <w:tcPr>
            <w:tcW w:type="dxa" w:w="5040"/>
            <w:shd w:fill="F7F9FC"/>
            <w:tcMar>
              <w:top w:w="100" w:type="dxa"/>
              <w:bottom w:w="100" w:type="dxa"/>
              <w:left w:w="160" w:type="dxa"/>
              <w:right w:w="160" w:type="dxa"/>
            </w:tcMar>
          </w:tcPr>
          <w:p>
            <w:pPr>
              <w:spacing w:before="40" w:after="40" w:line="276" w:lineRule="auto"/>
            </w:pPr>
            <w:r>
              <w:rPr>
                <w:rFonts w:ascii="Calibri" w:hAnsi="Calibri"/>
                <w:b w:val="0"/>
                <w:i w:val="0"/>
                <w:color w:val="1A1A1A"/>
                <w:sz w:val="20"/>
              </w:rPr>
              <w:t>Fractional share: _________ × FMV ($A) = Cash payment of $_________</w:t>
            </w:r>
          </w:p>
        </w:tc>
      </w:tr>
    </w:tbl>
    <w:p>
      <w:pPr>
        <w:spacing w:before="40" w:after="80"/>
      </w:pPr>
    </w:p>
    <w:p>
      <w:pPr>
        <w:spacing w:before="240" w:after="80"/>
      </w:pPr>
      <w:r>
        <w:rPr>
          <w:rFonts w:ascii="Calibri" w:hAnsi="Calibri"/>
          <w:b/>
          <w:i w:val="0"/>
          <w:color w:val="1A1A1A"/>
          <w:sz w:val="22"/>
        </w:rPr>
        <w:t>CONFIRMED AND ACKNOWLEDGED:</w:t>
      </w:r>
      <w:r>
        <w:rPr>
          <w:rFonts w:ascii="Calibri" w:hAnsi="Calibri"/>
          <w:b w:val="0"/>
          <w:i w:val="0"/>
          <w:color w:val="1A1A1A"/>
          <w:sz w:val="22"/>
        </w:rPr>
        <w:br/>
        <w:br/>
      </w:r>
      <w:r>
        <w:rPr>
          <w:rFonts w:ascii="Calibri" w:hAnsi="Calibri"/>
          <w:b/>
          <w:i w:val="0"/>
          <w:color w:val="1A1A1A"/>
          <w:sz w:val="22"/>
        </w:rPr>
        <w:t>ERTHOS, INC.</w:t>
      </w:r>
      <w:r>
        <w:rPr>
          <w:rFonts w:ascii="Calibri" w:hAnsi="Calibri"/>
          <w:b w:val="0"/>
          <w:i w:val="0"/>
          <w:color w:val="1A1A1A"/>
          <w:sz w:val="22"/>
        </w:rPr>
        <w:br/>
        <w:br/>
        <w:t>By: __________________________________________</w:t>
        <w:br/>
        <w:t>Name: ________________________________________</w:t>
        <w:br/>
        <w:t>Title: _______________________________________</w:t>
        <w:br/>
        <w:t>Date: ________________________________________</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after="0"/>
    </w:pPr>
    <w:r/>
  </w:p>
  <w:tbl>
    <w:tblPr>
      <w:tblW w:type="auto" w:w="0"/>
      <w:jc w:val="center"/>
      <w:tblLayout w:type="fixed"/>
      <w:tblLook w:firstColumn="1" w:firstRow="1" w:lastColumn="0" w:lastRow="0" w:noHBand="0" w:noVBand="1" w:val="04A0"/>
      <w:tblBorders>
        <w:top w:val="single" w:sz="4" w:space="0" w:color="D7DCE4"/>
        <w:left w:val="none"/>
        <w:right w:val="none"/>
        <w:bottom w:val="none"/>
        <w:insideH w:val="none"/>
        <w:insideV w:val="none"/>
      </w:tblBorders>
    </w:tblPr>
    <w:tblGrid>
      <w:gridCol w:w="6480"/>
      <w:gridCol w:w="2880"/>
    </w:tblGrid>
    <w:tr>
      <w:tc>
        <w:tcPr>
          <w:tcW w:type="dxa" w:w="4680"/>
        </w:tcPr>
        <w:p>
          <w:pPr>
            <w:spacing w:before="40" w:after="0"/>
          </w:pPr>
          <w:r>
            <w:rPr>
              <w:rFonts w:ascii="Calibri" w:hAnsi="Calibri"/>
              <w:color w:val="5A6472"/>
              <w:sz w:val="16"/>
            </w:rPr>
            <w:t>CONFIDENTIAL &amp; PROPRIETARY · SUBJECT TO DEFINITIVE LEGAL AGREEMENTS</w:t>
          </w:r>
        </w:p>
      </w:tc>
      <w:tc>
        <w:tcPr>
          <w:tcW w:type="dxa" w:w="4680"/>
        </w:tcPr>
        <w:p>
          <w:pPr>
            <w:spacing w:before="40" w:after="0"/>
            <w:jc w:val="right"/>
          </w:pPr>
          <w:r>
            <w:rPr>
              <w:rFonts w:ascii="Calibri" w:hAnsi="Calibri"/>
              <w:color w:val="5A6472"/>
              <w:sz w:val="17"/>
            </w:rPr>
            <w:t xml:space="preserve">Page </w:t>
          </w:r>
          <w:r>
            <w:fldChar w:fldCharType="begin"/>
            <w:instrText xml:space="preserve">PAGE</w:instrText>
            <w:fldChar w:fldCharType="separate"/>
            <w:fldChar w:fldCharType="end"/>
          </w:r>
          <w:r>
            <w:rPr>
              <w:rFonts w:ascii="Calibri" w:hAnsi="Calibri"/>
              <w:color w:val="5A6472"/>
              <w:sz w:val="17"/>
            </w:rPr>
            <w:t xml:space="preserve"> of </w:t>
          </w:r>
          <w:r>
            <w:fldChar w:fldCharType="begin"/>
            <w:instrText xml:space="preserve">NUMPAGES</w:instrText>
            <w:fldChar w:fldCharType="separate"/>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80"/>
    </w:pPr>
    <w:r/>
  </w:p>
  <w:tbl>
    <w:tblPr>
      <w:tblW w:type="auto" w:w="0"/>
      <w:jc w:val="center"/>
      <w:tblLayout w:type="fixed"/>
      <w:tblLook w:firstColumn="1" w:firstRow="1" w:lastColumn="0" w:lastRow="0" w:noHBand="0" w:noVBand="1" w:val="04A0"/>
      <w:tblBorders>
        <w:top w:val="none"/>
        <w:left w:val="none"/>
        <w:right w:val="none"/>
        <w:bottom w:val="single" w:sz="6" w:space="0" w:color="D7DCE4"/>
        <w:insideH w:val="none"/>
        <w:insideV w:val="none"/>
      </w:tblBorders>
    </w:tblPr>
    <w:tblGrid>
      <w:gridCol w:w="6480"/>
      <w:gridCol w:w="2880"/>
    </w:tblGrid>
    <w:tr>
      <w:tc>
        <w:tcPr>
          <w:tcW w:type="dxa" w:w="4680"/>
        </w:tcPr>
        <w:p>
          <w:pPr>
            <w:spacing w:before="0" w:after="0"/>
          </w:pPr>
          <w:r>
            <w:rPr>
              <w:rFonts w:ascii="Calibri" w:hAnsi="Calibri"/>
              <w:b/>
              <w:color w:val="1F3864"/>
              <w:sz w:val="17"/>
            </w:rPr>
            <w:t>ERTHOS, INC. · PREFERRED STOCK PURCHASE WARRANT (NO. PSH-2026-01)</w:t>
          </w:r>
        </w:p>
      </w:tc>
      <w:tc>
        <w:tcPr>
          <w:tcW w:type="dxa" w:w="4680"/>
        </w:tcPr>
        <w:p>
          <w:pPr>
            <w:spacing w:before="0" w:after="0"/>
            <w:jc w:val="right"/>
          </w:pPr>
          <w:r>
            <w:rPr>
              <w:rFonts w:ascii="Calibri" w:hAnsi="Calibri"/>
              <w:color w:val="5A6472"/>
              <w:sz w:val="17"/>
            </w:rPr>
            <w:t>DEFINITIVE LEGAL DRAFT</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