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80"/>
        <w:jc w:val="center"/>
      </w:pPr>
      <w:r>
        <w:rPr>
          <w:rFonts w:ascii="Calibri" w:hAnsi="Calibri"/>
          <w:b/>
          <w:color w:val="1F3864"/>
          <w:sz w:val="40"/>
        </w:rPr>
        <w:t>TERM SHEET: WARRANT TO PURCHASE PREFERRED STOCK</w:t>
      </w:r>
    </w:p>
    <w:p>
      <w:pPr>
        <w:spacing w:before="0" w:after="160"/>
        <w:jc w:val="center"/>
      </w:pPr>
      <w:r>
        <w:rPr>
          <w:rFonts w:ascii="Calibri" w:hAnsi="Calibri"/>
          <w:b/>
          <w:color w:val="2E4B85"/>
          <w:sz w:val="26"/>
        </w:rPr>
        <w:t>Erthos, Inc. Equity Consideration for $38M Tranche B Construction Facility</w:t>
      </w:r>
    </w:p>
    <w:p>
      <w:pPr>
        <w:spacing w:before="40" w:after="240"/>
        <w:jc w:val="center"/>
      </w:pPr>
      <w:r>
        <w:rPr>
          <w:rFonts w:ascii="Calibri" w:hAnsi="Calibri"/>
          <w:b/>
          <w:color w:val="1F3864"/>
          <w:sz w:val="20"/>
        </w:rPr>
        <w:t xml:space="preserve">ISSUER: </w:t>
      </w:r>
      <w:r>
        <w:rPr>
          <w:rFonts w:ascii="Calibri" w:hAnsi="Calibri"/>
          <w:color w:val="1A1A1A"/>
          <w:sz w:val="20"/>
        </w:rPr>
        <w:t>Erthos, Inc.</w:t>
      </w:r>
      <w:r>
        <w:rPr>
          <w:rFonts w:ascii="Calibri" w:hAnsi="Calibri"/>
          <w:color w:val="5A6472"/>
          <w:sz w:val="20"/>
        </w:rPr>
        <w:t xml:space="preserve">   |   </w:t>
      </w:r>
      <w:r>
        <w:rPr>
          <w:rFonts w:ascii="Calibri" w:hAnsi="Calibri"/>
          <w:b/>
          <w:color w:val="1F3864"/>
          <w:sz w:val="20"/>
        </w:rPr>
        <w:t xml:space="preserve">HOLDER: </w:t>
      </w:r>
      <w:r>
        <w:rPr>
          <w:rFonts w:ascii="Calibri" w:hAnsi="Calibri"/>
          <w:color w:val="1A1A1A"/>
          <w:sz w:val="20"/>
        </w:rPr>
        <w:t>Pacific Sequoia Holdings, LLC</w:t>
      </w:r>
      <w:r>
        <w:rPr>
          <w:rFonts w:ascii="Calibri" w:hAnsi="Calibri"/>
          <w:color w:val="5A6472"/>
          <w:sz w:val="20"/>
        </w:rPr>
        <w:t xml:space="preserve">   |   </w:t>
      </w:r>
      <w:r>
        <w:rPr>
          <w:rFonts w:ascii="Calibri" w:hAnsi="Calibri"/>
          <w:b/>
          <w:color w:val="1F3864"/>
          <w:sz w:val="20"/>
        </w:rPr>
        <w:t xml:space="preserve">DATE: </w:t>
      </w:r>
      <w:r>
        <w:rPr>
          <w:rFonts w:ascii="Calibri" w:hAnsi="Calibri"/>
          <w:color w:val="1A1A1A"/>
          <w:sz w:val="20"/>
        </w:rPr>
        <w:t>September 30, 2026</w:t>
      </w:r>
    </w:p>
    <w:tbl>
      <w:tblPr>
        <w:tblW w:type="auto" w:w="0"/>
        <w:jc w:val="center"/>
        <w:tblLayout w:type="fixed"/>
        <w:tblLook w:firstColumn="1" w:firstRow="1" w:lastColumn="0" w:lastRow="0" w:noHBand="0" w:noVBand="1" w:val="04A0"/>
        <w:tblBorders>
          <w:top w:val="single" w:sz="4" w:space="0" w:color="D7DCE4"/>
          <w:bottom w:val="single" w:sz="4" w:space="0" w:color="D7DCE4"/>
          <w:left w:val="none"/>
          <w:right w:val="none"/>
          <w:insideH w:val="single" w:sz="4" w:space="0" w:color="D7DCE4"/>
          <w:insideV w:val="none"/>
        </w:tblBorders>
      </w:tblPr>
      <w:tblGrid>
        <w:gridCol w:w="3168"/>
        <w:gridCol w:w="6192"/>
      </w:tblGrid>
      <w:tr>
        <w:trPr>
          <w:tblHeader/>
          <w:cantSplit/>
        </w:trPr>
        <w:tc>
          <w:tcPr>
            <w:tcW w:type="dxa" w:w="4680"/>
            <w:shd w:fill="1F3864"/>
            <w:tcMar>
              <w:top w:w="140" w:type="dxa"/>
              <w:bottom w:w="140" w:type="dxa"/>
              <w:left w:w="160" w:type="dxa"/>
              <w:right w:w="160" w:type="dxa"/>
            </w:tcMar>
          </w:tcPr>
          <w:p>
            <w:pPr>
              <w:spacing w:before="0" w:after="0"/>
            </w:pPr>
            <w:r>
              <w:rPr>
                <w:rFonts w:ascii="Calibri" w:hAnsi="Calibri"/>
                <w:b/>
                <w:color w:val="FFFFFF"/>
                <w:sz w:val="20"/>
              </w:rPr>
              <w:t>TERM SHEET PARAMETER</w:t>
            </w:r>
          </w:p>
        </w:tc>
        <w:tc>
          <w:tcPr>
            <w:tcW w:type="dxa" w:w="4680"/>
            <w:shd w:fill="1F3864"/>
            <w:tcMar>
              <w:top w:w="140" w:type="dxa"/>
              <w:bottom w:w="140" w:type="dxa"/>
              <w:left w:w="160" w:type="dxa"/>
              <w:right w:w="160" w:type="dxa"/>
            </w:tcMar>
          </w:tcPr>
          <w:p>
            <w:pPr>
              <w:spacing w:before="0" w:after="0"/>
            </w:pPr>
            <w:r>
              <w:rPr>
                <w:rFonts w:ascii="Calibri" w:hAnsi="Calibri"/>
                <w:b/>
                <w:color w:val="FFFFFF"/>
                <w:sz w:val="20"/>
              </w:rPr>
              <w:t>COMMERCIAL &amp; LEGAL SPECIFICATION</w:t>
            </w:r>
          </w:p>
        </w:tc>
      </w:tr>
      <w:tr>
        <w:trPr>
          <w:cantSplit/>
        </w:trPr>
        <w:tc>
          <w:tcPr>
            <w:tcW w:type="dxa" w:w="3168"/>
            <w:shd w:fill="FFFFFF"/>
            <w:tcMar>
              <w:top w:w="100" w:type="dxa"/>
              <w:bottom w:w="100" w:type="dxa"/>
              <w:left w:w="160" w:type="dxa"/>
              <w:right w:w="160" w:type="dxa"/>
            </w:tcMar>
          </w:tcPr>
          <w:p>
            <w:pPr>
              <w:spacing w:before="40" w:after="40" w:line="276" w:lineRule="auto"/>
            </w:pPr>
            <w:r>
              <w:rPr>
                <w:rFonts w:ascii="Calibri" w:hAnsi="Calibri"/>
                <w:b/>
                <w:color w:val="1F3864"/>
                <w:sz w:val="20"/>
              </w:rPr>
              <w:t>Issuer</w:t>
            </w:r>
          </w:p>
        </w:tc>
        <w:tc>
          <w:tcPr>
            <w:tcW w:type="dxa" w:w="6192"/>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Erthos, Inc., a Delaware corporation (ultimate parent company)</w:t>
            </w:r>
          </w:p>
        </w:tc>
      </w:tr>
      <w:tr>
        <w:trPr>
          <w:cantSplit/>
        </w:trPr>
        <w:tc>
          <w:tcPr>
            <w:tcW w:type="dxa" w:w="3168"/>
            <w:shd w:fill="F7F9FC"/>
            <w:tcMar>
              <w:top w:w="100" w:type="dxa"/>
              <w:bottom w:w="100" w:type="dxa"/>
              <w:left w:w="160" w:type="dxa"/>
              <w:right w:w="160" w:type="dxa"/>
            </w:tcMar>
          </w:tcPr>
          <w:p>
            <w:pPr>
              <w:spacing w:before="40" w:after="40" w:line="276" w:lineRule="auto"/>
            </w:pPr>
            <w:r>
              <w:rPr>
                <w:rFonts w:ascii="Calibri" w:hAnsi="Calibri"/>
                <w:b/>
                <w:color w:val="1F3864"/>
                <w:sz w:val="20"/>
              </w:rPr>
              <w:t>Holder / Grantee</w:t>
            </w:r>
          </w:p>
        </w:tc>
        <w:tc>
          <w:tcPr>
            <w:tcW w:type="dxa" w:w="6192"/>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Pacific Sequoia Holdings, LLC, a Delaware limited liability company ("PSH")</w:t>
            </w:r>
          </w:p>
        </w:tc>
      </w:tr>
      <w:tr>
        <w:trPr>
          <w:cantSplit/>
        </w:trPr>
        <w:tc>
          <w:tcPr>
            <w:tcW w:type="dxa" w:w="3168"/>
            <w:shd w:fill="FFFFFF"/>
            <w:tcMar>
              <w:top w:w="100" w:type="dxa"/>
              <w:bottom w:w="100" w:type="dxa"/>
              <w:left w:w="160" w:type="dxa"/>
              <w:right w:w="160" w:type="dxa"/>
            </w:tcMar>
          </w:tcPr>
          <w:p>
            <w:pPr>
              <w:spacing w:before="40" w:after="40" w:line="276" w:lineRule="auto"/>
            </w:pPr>
            <w:r>
              <w:rPr>
                <w:rFonts w:ascii="Calibri" w:hAnsi="Calibri"/>
                <w:b/>
                <w:color w:val="1F3864"/>
                <w:sz w:val="20"/>
              </w:rPr>
              <w:t>Financing Facility</w:t>
            </w:r>
          </w:p>
        </w:tc>
        <w:tc>
          <w:tcPr>
            <w:tcW w:type="dxa" w:w="6192"/>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Credit Agreement dated April 17, 2025; Amendment No. 2 dated June 1, 2026 ($38.0M Tranche B construction facility at 12.00% p.a.)</w:t>
            </w:r>
          </w:p>
        </w:tc>
      </w:tr>
      <w:tr>
        <w:trPr>
          <w:cantSplit/>
        </w:trPr>
        <w:tc>
          <w:tcPr>
            <w:tcW w:type="dxa" w:w="3168"/>
            <w:shd w:fill="F7F9FC"/>
            <w:tcMar>
              <w:top w:w="100" w:type="dxa"/>
              <w:bottom w:w="100" w:type="dxa"/>
              <w:left w:w="160" w:type="dxa"/>
              <w:right w:w="160" w:type="dxa"/>
            </w:tcMar>
          </w:tcPr>
          <w:p>
            <w:pPr>
              <w:spacing w:before="40" w:after="40" w:line="276" w:lineRule="auto"/>
            </w:pPr>
            <w:r>
              <w:rPr>
                <w:rFonts w:ascii="Calibri" w:hAnsi="Calibri"/>
                <w:b/>
                <w:color w:val="1F3864"/>
                <w:sz w:val="20"/>
              </w:rPr>
              <w:t>Warrant Coverage</w:t>
            </w:r>
          </w:p>
        </w:tc>
        <w:tc>
          <w:tcPr>
            <w:tcW w:type="dxa" w:w="6192"/>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12.00% of $38,000,000 Tranche B commitment</w:t>
            </w:r>
          </w:p>
        </w:tc>
      </w:tr>
      <w:tr>
        <w:trPr>
          <w:cantSplit/>
        </w:trPr>
        <w:tc>
          <w:tcPr>
            <w:tcW w:type="dxa" w:w="3168"/>
            <w:shd w:fill="FFFFFF"/>
            <w:tcMar>
              <w:top w:w="100" w:type="dxa"/>
              <w:bottom w:w="100" w:type="dxa"/>
              <w:left w:w="160" w:type="dxa"/>
              <w:right w:w="160" w:type="dxa"/>
            </w:tcMar>
          </w:tcPr>
          <w:p>
            <w:pPr>
              <w:spacing w:before="40" w:after="40" w:line="276" w:lineRule="auto"/>
            </w:pPr>
            <w:r>
              <w:rPr>
                <w:rFonts w:ascii="Calibri" w:hAnsi="Calibri"/>
                <w:b/>
                <w:color w:val="1F3864"/>
                <w:sz w:val="20"/>
              </w:rPr>
              <w:t>Aggregate Equity Value</w:t>
            </w:r>
          </w:p>
        </w:tc>
        <w:tc>
          <w:tcPr>
            <w:tcW w:type="dxa" w:w="6192"/>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$4,560,000.00 (negotiated ~$4.6 million Erthos equity value)</w:t>
            </w:r>
          </w:p>
        </w:tc>
      </w:tr>
      <w:tr>
        <w:trPr>
          <w:cantSplit/>
        </w:trPr>
        <w:tc>
          <w:tcPr>
            <w:tcW w:type="dxa" w:w="3168"/>
            <w:shd w:fill="F7F9FC"/>
            <w:tcMar>
              <w:top w:w="100" w:type="dxa"/>
              <w:bottom w:w="100" w:type="dxa"/>
              <w:left w:w="160" w:type="dxa"/>
              <w:right w:w="160" w:type="dxa"/>
            </w:tcMar>
          </w:tcPr>
          <w:p>
            <w:pPr>
              <w:spacing w:before="40" w:after="40" w:line="276" w:lineRule="auto"/>
            </w:pPr>
            <w:r>
              <w:rPr>
                <w:rFonts w:ascii="Calibri" w:hAnsi="Calibri"/>
                <w:b/>
                <w:color w:val="1F3864"/>
                <w:sz w:val="20"/>
              </w:rPr>
              <w:t>Instrument Type</w:t>
            </w:r>
          </w:p>
        </w:tc>
        <w:tc>
          <w:tcPr>
            <w:tcW w:type="dxa" w:w="6192"/>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Fully vested, ten-year Penny Warrant ($0.01 per share exercise price)</w:t>
            </w:r>
          </w:p>
        </w:tc>
      </w:tr>
      <w:tr>
        <w:trPr>
          <w:cantSplit/>
        </w:trPr>
        <w:tc>
          <w:tcPr>
            <w:tcW w:type="dxa" w:w="3168"/>
            <w:shd w:fill="FFFFFF"/>
            <w:tcMar>
              <w:top w:w="100" w:type="dxa"/>
              <w:bottom w:w="100" w:type="dxa"/>
              <w:left w:w="160" w:type="dxa"/>
              <w:right w:w="160" w:type="dxa"/>
            </w:tcMar>
          </w:tcPr>
          <w:p>
            <w:pPr>
              <w:spacing w:before="40" w:after="40" w:line="276" w:lineRule="auto"/>
            </w:pPr>
            <w:r>
              <w:rPr>
                <w:rFonts w:ascii="Calibri" w:hAnsi="Calibri"/>
                <w:b/>
                <w:color w:val="1F3864"/>
                <w:sz w:val="20"/>
              </w:rPr>
              <w:t>Underlying Security</w:t>
            </w:r>
          </w:p>
        </w:tc>
        <w:tc>
          <w:tcPr>
            <w:tcW w:type="dxa" w:w="6192"/>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Series C Preferred Stock (Next Qualified Financing ≥ $15M) or Fallback: Series B Preferred Stock</w:t>
            </w:r>
          </w:p>
        </w:tc>
      </w:tr>
      <w:tr>
        <w:trPr>
          <w:cantSplit/>
        </w:trPr>
        <w:tc>
          <w:tcPr>
            <w:tcW w:type="dxa" w:w="3168"/>
            <w:shd w:fill="F7F9FC"/>
            <w:tcMar>
              <w:top w:w="100" w:type="dxa"/>
              <w:bottom w:w="100" w:type="dxa"/>
              <w:left w:w="160" w:type="dxa"/>
              <w:right w:w="160" w:type="dxa"/>
            </w:tcMar>
          </w:tcPr>
          <w:p>
            <w:pPr>
              <w:spacing w:before="40" w:after="40" w:line="276" w:lineRule="auto"/>
            </w:pPr>
            <w:r>
              <w:rPr>
                <w:rFonts w:ascii="Calibri" w:hAnsi="Calibri"/>
                <w:b/>
                <w:color w:val="1F3864"/>
                <w:sz w:val="20"/>
              </w:rPr>
              <w:t>Number of Shares</w:t>
            </w:r>
          </w:p>
        </w:tc>
        <w:tc>
          <w:tcPr>
            <w:tcW w:type="dxa" w:w="6192"/>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Aggregate Equity Value ($4,560,000.00) ÷ Applicable Per Share Price</w:t>
            </w:r>
          </w:p>
        </w:tc>
      </w:tr>
      <w:tr>
        <w:trPr>
          <w:cantSplit/>
        </w:trPr>
        <w:tc>
          <w:tcPr>
            <w:tcW w:type="dxa" w:w="3168"/>
            <w:shd w:fill="FFFFFF"/>
            <w:tcMar>
              <w:top w:w="100" w:type="dxa"/>
              <w:bottom w:w="100" w:type="dxa"/>
              <w:left w:w="160" w:type="dxa"/>
              <w:right w:w="160" w:type="dxa"/>
            </w:tcMar>
          </w:tcPr>
          <w:p>
            <w:pPr>
              <w:spacing w:before="40" w:after="40" w:line="276" w:lineRule="auto"/>
            </w:pPr>
            <w:r>
              <w:rPr>
                <w:rFonts w:ascii="Calibri" w:hAnsi="Calibri"/>
                <w:b/>
                <w:color w:val="1F3864"/>
                <w:sz w:val="20"/>
              </w:rPr>
              <w:t>Exercise Price</w:t>
            </w:r>
          </w:p>
        </w:tc>
        <w:tc>
          <w:tcPr>
            <w:tcW w:type="dxa" w:w="6192"/>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$0.01 per share ("Penny Strike"), subject to equitable adjustments</w:t>
            </w:r>
          </w:p>
        </w:tc>
      </w:tr>
      <w:tr>
        <w:trPr>
          <w:cantSplit/>
        </w:trPr>
        <w:tc>
          <w:tcPr>
            <w:tcW w:type="dxa" w:w="3168"/>
            <w:shd w:fill="F7F9FC"/>
            <w:tcMar>
              <w:top w:w="100" w:type="dxa"/>
              <w:bottom w:w="100" w:type="dxa"/>
              <w:left w:w="160" w:type="dxa"/>
              <w:right w:w="160" w:type="dxa"/>
            </w:tcMar>
          </w:tcPr>
          <w:p>
            <w:pPr>
              <w:spacing w:before="40" w:after="40" w:line="276" w:lineRule="auto"/>
            </w:pPr>
            <w:r>
              <w:rPr>
                <w:rFonts w:ascii="Calibri" w:hAnsi="Calibri"/>
                <w:b/>
                <w:color w:val="1F3864"/>
                <w:sz w:val="20"/>
              </w:rPr>
              <w:t>Vesting</w:t>
            </w:r>
          </w:p>
        </w:tc>
        <w:tc>
          <w:tcPr>
            <w:tcW w:type="dxa" w:w="6192"/>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100% fully vested upon issuance</w:t>
            </w:r>
          </w:p>
        </w:tc>
      </w:tr>
      <w:tr>
        <w:trPr>
          <w:cantSplit/>
        </w:trPr>
        <w:tc>
          <w:tcPr>
            <w:tcW w:type="dxa" w:w="3168"/>
            <w:shd w:fill="FFFFFF"/>
            <w:tcMar>
              <w:top w:w="100" w:type="dxa"/>
              <w:bottom w:w="100" w:type="dxa"/>
              <w:left w:w="160" w:type="dxa"/>
              <w:right w:w="160" w:type="dxa"/>
            </w:tcMar>
          </w:tcPr>
          <w:p>
            <w:pPr>
              <w:spacing w:before="40" w:after="40" w:line="276" w:lineRule="auto"/>
            </w:pPr>
            <w:r>
              <w:rPr>
                <w:rFonts w:ascii="Calibri" w:hAnsi="Calibri"/>
                <w:b/>
                <w:color w:val="1F3864"/>
                <w:sz w:val="20"/>
              </w:rPr>
              <w:t>Term / Expiration</w:t>
            </w:r>
          </w:p>
        </w:tc>
        <w:tc>
          <w:tcPr>
            <w:tcW w:type="dxa" w:w="6192"/>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Ten (10) years (September 30, 2036)</w:t>
            </w:r>
          </w:p>
        </w:tc>
      </w:tr>
      <w:tr>
        <w:trPr>
          <w:cantSplit/>
        </w:trPr>
        <w:tc>
          <w:tcPr>
            <w:tcW w:type="dxa" w:w="3168"/>
            <w:shd w:fill="F7F9FC"/>
            <w:tcMar>
              <w:top w:w="100" w:type="dxa"/>
              <w:bottom w:w="100" w:type="dxa"/>
              <w:left w:w="160" w:type="dxa"/>
              <w:right w:w="160" w:type="dxa"/>
            </w:tcMar>
          </w:tcPr>
          <w:p>
            <w:pPr>
              <w:spacing w:before="40" w:after="40" w:line="276" w:lineRule="auto"/>
            </w:pPr>
            <w:r>
              <w:rPr>
                <w:rFonts w:ascii="Calibri" w:hAnsi="Calibri"/>
                <w:b/>
                <w:color w:val="1F3864"/>
                <w:sz w:val="20"/>
              </w:rPr>
              <w:t>Exercise Mechanics</w:t>
            </w:r>
          </w:p>
        </w:tc>
        <w:tc>
          <w:tcPr>
            <w:tcW w:type="dxa" w:w="6192"/>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Cash Exercise or Net / Cashless Exercise</w:t>
            </w:r>
          </w:p>
        </w:tc>
      </w:tr>
      <w:tr>
        <w:trPr>
          <w:cantSplit/>
        </w:trPr>
        <w:tc>
          <w:tcPr>
            <w:tcW w:type="dxa" w:w="3168"/>
            <w:shd w:fill="FFFFFF"/>
            <w:tcMar>
              <w:top w:w="100" w:type="dxa"/>
              <w:bottom w:w="100" w:type="dxa"/>
              <w:left w:w="160" w:type="dxa"/>
              <w:right w:w="160" w:type="dxa"/>
            </w:tcMar>
          </w:tcPr>
          <w:p>
            <w:pPr>
              <w:spacing w:before="40" w:after="40" w:line="276" w:lineRule="auto"/>
            </w:pPr>
            <w:r>
              <w:rPr>
                <w:rFonts w:ascii="Calibri" w:hAnsi="Calibri"/>
                <w:b/>
                <w:color w:val="1F3864"/>
                <w:sz w:val="20"/>
              </w:rPr>
              <w:t>Deemed Liquidation / M&amp;A</w:t>
            </w:r>
          </w:p>
        </w:tc>
        <w:tc>
          <w:tcPr>
            <w:tcW w:type="dxa" w:w="6192"/>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20 business days' prior written notice; right to exercise; automatic cashless conversion if unassumed</w:t>
            </w:r>
          </w:p>
        </w:tc>
      </w:tr>
      <w:tr>
        <w:trPr>
          <w:cantSplit/>
        </w:trPr>
        <w:tc>
          <w:tcPr>
            <w:tcW w:type="dxa" w:w="3168"/>
            <w:shd w:fill="F7F9FC"/>
            <w:tcMar>
              <w:top w:w="100" w:type="dxa"/>
              <w:bottom w:w="100" w:type="dxa"/>
              <w:left w:w="160" w:type="dxa"/>
              <w:right w:w="160" w:type="dxa"/>
            </w:tcMar>
          </w:tcPr>
          <w:p>
            <w:pPr>
              <w:spacing w:before="40" w:after="40" w:line="276" w:lineRule="auto"/>
            </w:pPr>
            <w:r>
              <w:rPr>
                <w:rFonts w:ascii="Calibri" w:hAnsi="Calibri"/>
                <w:b/>
                <w:color w:val="1F3864"/>
                <w:sz w:val="20"/>
              </w:rPr>
              <w:t>Governance Impact</w:t>
            </w:r>
          </w:p>
        </w:tc>
        <w:tc>
          <w:tcPr>
            <w:tcW w:type="dxa" w:w="6192"/>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Non-voting prior to exercise; no board representation or cap table overhead prior to exercise</w:t>
            </w:r>
          </w:p>
        </w:tc>
      </w:tr>
      <w:tr>
        <w:trPr>
          <w:cantSplit/>
        </w:trPr>
        <w:tc>
          <w:tcPr>
            <w:tcW w:type="dxa" w:w="3168"/>
            <w:shd w:fill="FFFFFF"/>
            <w:tcMar>
              <w:top w:w="100" w:type="dxa"/>
              <w:bottom w:w="100" w:type="dxa"/>
              <w:left w:w="160" w:type="dxa"/>
              <w:right w:w="160" w:type="dxa"/>
            </w:tcMar>
          </w:tcPr>
          <w:p>
            <w:pPr>
              <w:spacing w:before="40" w:after="40" w:line="276" w:lineRule="auto"/>
            </w:pPr>
            <w:r>
              <w:rPr>
                <w:rFonts w:ascii="Calibri" w:hAnsi="Calibri"/>
                <w:b/>
                <w:color w:val="1F3864"/>
                <w:sz w:val="20"/>
              </w:rPr>
              <w:t>Registration Rights</w:t>
            </w:r>
          </w:p>
        </w:tc>
        <w:tc>
          <w:tcPr>
            <w:tcW w:type="dxa" w:w="6192"/>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Piggyback registration rights pari passu with major preferred stock investors</w:t>
            </w:r>
          </w:p>
        </w:tc>
      </w:tr>
      <w:tr>
        <w:trPr>
          <w:cantSplit/>
        </w:trPr>
        <w:tc>
          <w:tcPr>
            <w:tcW w:type="dxa" w:w="3168"/>
            <w:shd w:fill="F7F9FC"/>
            <w:tcMar>
              <w:top w:w="100" w:type="dxa"/>
              <w:bottom w:w="100" w:type="dxa"/>
              <w:left w:w="160" w:type="dxa"/>
              <w:right w:w="160" w:type="dxa"/>
            </w:tcMar>
          </w:tcPr>
          <w:p>
            <w:pPr>
              <w:spacing w:before="40" w:after="40" w:line="276" w:lineRule="auto"/>
            </w:pPr>
            <w:r>
              <w:rPr>
                <w:rFonts w:ascii="Calibri" w:hAnsi="Calibri"/>
                <w:b/>
                <w:color w:val="1F3864"/>
                <w:sz w:val="20"/>
              </w:rPr>
              <w:t>Tax / GAAP Treatment</w:t>
            </w:r>
          </w:p>
        </w:tc>
        <w:tc>
          <w:tcPr>
            <w:tcW w:type="dxa" w:w="6192"/>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Investment Unit under IRC § 1273(c)(2); original issue discount / debt discount amortized over loan term</w:t>
            </w:r>
          </w:p>
        </w:tc>
      </w:tr>
      <w:tr>
        <w:trPr>
          <w:cantSplit/>
        </w:trPr>
        <w:tc>
          <w:tcPr>
            <w:tcW w:type="dxa" w:w="3168"/>
            <w:shd w:fill="FFFFFF"/>
            <w:tcMar>
              <w:top w:w="100" w:type="dxa"/>
              <w:bottom w:w="100" w:type="dxa"/>
              <w:left w:w="160" w:type="dxa"/>
              <w:right w:w="160" w:type="dxa"/>
            </w:tcMar>
          </w:tcPr>
          <w:p>
            <w:pPr>
              <w:spacing w:before="40" w:after="40" w:line="276" w:lineRule="auto"/>
            </w:pPr>
            <w:r>
              <w:rPr>
                <w:rFonts w:ascii="Calibri" w:hAnsi="Calibri"/>
                <w:b/>
                <w:color w:val="1F3864"/>
                <w:sz w:val="20"/>
              </w:rPr>
              <w:t>Governing Law</w:t>
            </w:r>
          </w:p>
        </w:tc>
        <w:tc>
          <w:tcPr>
            <w:tcW w:type="dxa" w:w="6192"/>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State of Delaware (Delaware Court of Chancery exclusive jurisdiction)</w:t>
            </w:r>
          </w:p>
        </w:tc>
      </w:tr>
    </w:tbl>
    <w:p>
      <w:pPr>
        <w:spacing w:before="40" w:after="80"/>
      </w:pPr>
    </w:p>
    <w:p>
      <w:pPr>
        <w:keepNext/>
        <w:spacing w:before="280" w:after="80"/>
      </w:pPr>
      <w:r>
        <w:rPr>
          <w:rFonts w:ascii="Calibri" w:hAnsi="Calibri"/>
          <w:b/>
          <w:color w:val="1F3864"/>
          <w:sz w:val="28"/>
        </w:rPr>
        <w:t>1. PRELIMINARY STATEMENT &amp; CONTEXT</w:t>
      </w:r>
    </w:p>
    <w:p>
      <w:pPr>
        <w:spacing w:before="0" w:after="80" w:line="276" w:lineRule="auto"/>
      </w:pPr>
      <w:r>
        <w:rPr>
          <w:rFonts w:ascii="Calibri" w:hAnsi="Calibri"/>
          <w:b w:val="0"/>
          <w:i w:val="0"/>
          <w:color w:val="1A1A1A"/>
          <w:sz w:val="22"/>
        </w:rPr>
        <w:t>This Term Sheet summarizes the principal terms and conditions of a warrant to purchase shares of Preferred Stock of Erthos, Inc. (the "</w:t>
      </w:r>
      <w:r>
        <w:rPr>
          <w:rFonts w:ascii="Calibri" w:hAnsi="Calibri"/>
          <w:b/>
          <w:i w:val="0"/>
          <w:color w:val="1A1A1A"/>
          <w:sz w:val="22"/>
        </w:rPr>
        <w:t>Company</w:t>
      </w:r>
      <w:r>
        <w:rPr>
          <w:rFonts w:ascii="Calibri" w:hAnsi="Calibri"/>
          <w:b w:val="0"/>
          <w:i w:val="0"/>
          <w:color w:val="1A1A1A"/>
          <w:sz w:val="22"/>
        </w:rPr>
        <w:t>") to be issued to Pacific Sequoia Holdings, LLC ("</w:t>
      </w:r>
      <w:r>
        <w:rPr>
          <w:rFonts w:ascii="Calibri" w:hAnsi="Calibri"/>
          <w:b/>
          <w:i w:val="0"/>
          <w:color w:val="1A1A1A"/>
          <w:sz w:val="22"/>
        </w:rPr>
        <w:t>PSH</w:t>
      </w:r>
      <w:r>
        <w:rPr>
          <w:rFonts w:ascii="Calibri" w:hAnsi="Calibri"/>
          <w:b w:val="0"/>
          <w:i w:val="0"/>
          <w:color w:val="1A1A1A"/>
          <w:sz w:val="22"/>
        </w:rPr>
        <w:t>" or the "</w:t>
      </w:r>
      <w:r>
        <w:rPr>
          <w:rFonts w:ascii="Calibri" w:hAnsi="Calibri"/>
          <w:b/>
          <w:i w:val="0"/>
          <w:color w:val="1A1A1A"/>
          <w:sz w:val="22"/>
        </w:rPr>
        <w:t>Holder</w:t>
      </w:r>
      <w:r>
        <w:rPr>
          <w:rFonts w:ascii="Calibri" w:hAnsi="Calibri"/>
          <w:b w:val="0"/>
          <w:i w:val="0"/>
          <w:color w:val="1A1A1A"/>
          <w:sz w:val="22"/>
        </w:rPr>
        <w:t>") as additional consideration in connection with the $38,000,000 Tranche B construction loan facility provided by PSH to ErthCap DevCo LLC for Project Bravo under the Credit Agreement described herein.</w:t>
      </w:r>
    </w:p>
    <w:p>
      <w:pPr>
        <w:spacing w:before="0" w:after="80" w:line="276" w:lineRule="auto"/>
      </w:pPr>
      <w:r>
        <w:rPr>
          <w:rFonts w:ascii="Calibri" w:hAnsi="Calibri"/>
          <w:b w:val="0"/>
          <w:i w:val="0"/>
          <w:color w:val="1A1A1A"/>
          <w:sz w:val="22"/>
        </w:rPr>
        <w:t>This Term Sheet is intended for discussion, structuring, and definitive documentation purposes and reflects the agreed commercial terms between Jim Tyler (on behalf of Erthos, Inc. and its affiliates) and Ion Yadigaroglu (on behalf of PSH). Except for provisions relating to confidentiality and expenses (if applicable), this Term Sheet is non-binding; the definitive rights, preferences, and obligations of the parties shall be governed solely by the definitive Warrant Agreement approved by the Board of Directors of the Company and executed by the parties.</w:t>
      </w:r>
    </w:p>
    <w:p>
      <w:pPr>
        <w:keepNext/>
        <w:spacing w:before="280" w:after="80"/>
      </w:pPr>
      <w:r>
        <w:rPr>
          <w:rFonts w:ascii="Calibri" w:hAnsi="Calibri"/>
          <w:b/>
          <w:color w:val="1F3864"/>
          <w:sz w:val="28"/>
        </w:rPr>
        <w:t>2. SUMMARY OF PRINCIPAL TERMS</w:t>
      </w:r>
    </w:p>
    <w:p>
      <w:pPr>
        <w:keepNext/>
        <w:spacing w:before="200" w:after="60"/>
      </w:pPr>
      <w:r>
        <w:rPr>
          <w:rFonts w:ascii="Calibri" w:hAnsi="Calibri"/>
          <w:b/>
          <w:color w:val="2E4B85"/>
          <w:sz w:val="24"/>
        </w:rPr>
        <w:t>2.1 Parties and Financing Context</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Issuer:</w:t>
      </w:r>
      <w:r>
        <w:rPr>
          <w:rFonts w:ascii="Calibri" w:hAnsi="Calibri"/>
          <w:b w:val="0"/>
          <w:i w:val="0"/>
          <w:color w:val="1A1A1A"/>
          <w:sz w:val="22"/>
        </w:rPr>
        <w:t xml:space="preserve"> Erthos, Inc., a Delaware corporation (the "Company", ultimate parent entity).</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Holder / Grantee:</w:t>
      </w:r>
      <w:r>
        <w:rPr>
          <w:rFonts w:ascii="Calibri" w:hAnsi="Calibri"/>
          <w:b w:val="0"/>
          <w:i w:val="0"/>
          <w:color w:val="1A1A1A"/>
          <w:sz w:val="22"/>
        </w:rPr>
        <w:t xml:space="preserve"> Pacific Sequoia Holdings, LLC, a Delaware limited liability company ("PSH" or "Holder").</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Borrower under Credit Agreement:</w:t>
      </w:r>
      <w:r>
        <w:rPr>
          <w:rFonts w:ascii="Calibri" w:hAnsi="Calibri"/>
          <w:b w:val="0"/>
          <w:i w:val="0"/>
          <w:color w:val="1A1A1A"/>
          <w:sz w:val="22"/>
        </w:rPr>
        <w:t xml:space="preserve"> ErthCap DevCo LLC, a Delaware limited liability company wholly owned by Erthos Capital, LLC, a direct subsidiary of the Company.</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Financing Facility:</w:t>
      </w:r>
      <w:r>
        <w:rPr>
          <w:rFonts w:ascii="Calibri" w:hAnsi="Calibri"/>
          <w:b w:val="0"/>
          <w:i w:val="0"/>
          <w:color w:val="1A1A1A"/>
          <w:sz w:val="22"/>
        </w:rPr>
        <w:t xml:space="preserve"> Credit Agreement dated as of April 17, 2025, by and between Borrower and PSH, as amended by Amendment No. 1 dated February 5, 2026 (commitment increased to $38.5M) and Amendment No. 2 dated June 1, 2026 (aggregate commitment increased to $76.5M, establishing Tranche A at $38.5M at 10.00% per annum and Tranche B at $38.0M at 12.00% per annum) (as so amended, the "</w:t>
      </w:r>
      <w:r>
        <w:rPr>
          <w:rFonts w:ascii="Calibri" w:hAnsi="Calibri"/>
          <w:b/>
          <w:i w:val="0"/>
          <w:color w:val="1A1A1A"/>
          <w:sz w:val="22"/>
        </w:rPr>
        <w:t>Credit Agreement</w:t>
      </w:r>
      <w:r>
        <w:rPr>
          <w:rFonts w:ascii="Calibri" w:hAnsi="Calibri"/>
          <w:b w:val="0"/>
          <w:i w:val="0"/>
          <w:color w:val="1A1A1A"/>
          <w:sz w:val="22"/>
        </w:rPr>
        <w:t>").</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Consideration:</w:t>
      </w:r>
      <w:r>
        <w:rPr>
          <w:rFonts w:ascii="Calibri" w:hAnsi="Calibri"/>
          <w:b w:val="0"/>
          <w:i w:val="0"/>
          <w:color w:val="1A1A1A"/>
          <w:sz w:val="22"/>
        </w:rPr>
        <w:t xml:space="preserve"> Issued as equity consideration and commitment inducement for PSH agreeing to provide the </w:t>
      </w:r>
      <w:r>
        <w:rPr>
          <w:rFonts w:ascii="Calibri" w:hAnsi="Calibri"/>
          <w:b/>
          <w:i w:val="0"/>
          <w:color w:val="1A1A1A"/>
          <w:sz w:val="22"/>
        </w:rPr>
        <w:t>$38,000,000 Tranche B construction loan facility</w:t>
      </w:r>
      <w:r>
        <w:rPr>
          <w:rFonts w:ascii="Calibri" w:hAnsi="Calibri"/>
          <w:b w:val="0"/>
          <w:i w:val="0"/>
          <w:color w:val="1A1A1A"/>
          <w:sz w:val="22"/>
        </w:rPr>
        <w:t xml:space="preserve"> under Amendment No. 2 to finance the construction, commissioning, and commercial operation of Project Bravo (owned by Industrial Bravo Project LLC).</w:t>
      </w:r>
    </w:p>
    <w:p>
      <w:pPr>
        <w:keepNext/>
        <w:spacing w:before="200" w:after="60"/>
      </w:pPr>
      <w:r>
        <w:rPr>
          <w:rFonts w:ascii="Calibri" w:hAnsi="Calibri"/>
          <w:b/>
          <w:color w:val="2E4B85"/>
          <w:sz w:val="24"/>
        </w:rPr>
        <w:t>2.2 Equity Value Coverage &amp; Underlying Instrument</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Warrant Coverage:</w:t>
      </w:r>
      <w:r>
        <w:rPr>
          <w:rFonts w:ascii="Calibri" w:hAnsi="Calibri"/>
          <w:b w:val="0"/>
          <w:i w:val="0"/>
          <w:color w:val="1A1A1A"/>
          <w:sz w:val="22"/>
        </w:rPr>
        <w:t xml:space="preserve"> </w:t>
      </w:r>
      <w:r>
        <w:rPr>
          <w:rFonts w:ascii="Calibri" w:hAnsi="Calibri"/>
          <w:b/>
          <w:i w:val="0"/>
          <w:color w:val="1A1A1A"/>
          <w:sz w:val="22"/>
        </w:rPr>
        <w:t>Twelve percent (12.00%)</w:t>
      </w:r>
      <w:r>
        <w:rPr>
          <w:rFonts w:ascii="Calibri" w:hAnsi="Calibri"/>
          <w:b w:val="0"/>
          <w:i w:val="0"/>
          <w:color w:val="1A1A1A"/>
          <w:sz w:val="22"/>
        </w:rPr>
        <w:t xml:space="preserve"> of the $38,000,000 Tranche B facility commitment, representing an aggregate equity coverage value of </w:t>
      </w:r>
      <w:r>
        <w:rPr>
          <w:rFonts w:ascii="Calibri" w:hAnsi="Calibri"/>
          <w:b/>
          <w:i w:val="0"/>
          <w:color w:val="1A1A1A"/>
          <w:sz w:val="22"/>
        </w:rPr>
        <w:t>$4,560,000.00</w:t>
      </w:r>
      <w:r>
        <w:rPr>
          <w:rFonts w:ascii="Calibri" w:hAnsi="Calibri"/>
          <w:b w:val="0"/>
          <w:i w:val="0"/>
          <w:color w:val="1A1A1A"/>
          <w:sz w:val="22"/>
        </w:rPr>
        <w:t xml:space="preserve"> (the "</w:t>
      </w:r>
      <w:r>
        <w:rPr>
          <w:rFonts w:ascii="Calibri" w:hAnsi="Calibri"/>
          <w:b/>
          <w:i w:val="0"/>
          <w:color w:val="1A1A1A"/>
          <w:sz w:val="22"/>
        </w:rPr>
        <w:t>Aggregate Equity Value</w:t>
      </w:r>
      <w:r>
        <w:rPr>
          <w:rFonts w:ascii="Calibri" w:hAnsi="Calibri"/>
          <w:b w:val="0"/>
          <w:i w:val="0"/>
          <w:color w:val="1A1A1A"/>
          <w:sz w:val="22"/>
        </w:rPr>
        <w:t>") (discussed between Jim Tyler and Ion Yadigaroglu as approximately $4.6 million in Erthos equity value).</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Instrument Type:</w:t>
      </w:r>
      <w:r>
        <w:rPr>
          <w:rFonts w:ascii="Calibri" w:hAnsi="Calibri"/>
          <w:b w:val="0"/>
          <w:i w:val="0"/>
          <w:color w:val="1A1A1A"/>
          <w:sz w:val="22"/>
        </w:rPr>
        <w:t xml:space="preserve"> Fully vested, ten-year </w:t>
      </w:r>
      <w:r>
        <w:rPr>
          <w:rFonts w:ascii="Calibri" w:hAnsi="Calibri"/>
          <w:b/>
          <w:i w:val="0"/>
          <w:color w:val="1A1A1A"/>
          <w:sz w:val="22"/>
        </w:rPr>
        <w:t>Penny Warrant</w:t>
      </w:r>
      <w:r>
        <w:rPr>
          <w:rFonts w:ascii="Calibri" w:hAnsi="Calibri"/>
          <w:b w:val="0"/>
          <w:i w:val="0"/>
          <w:color w:val="1A1A1A"/>
          <w:sz w:val="22"/>
        </w:rPr>
        <w:t xml:space="preserve"> ($0.01 per share exercise price) exercisable for shares of Preferred Stock of the Company.</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Underlying Security:</w:t>
      </w:r>
      <w:r>
        <w:rPr>
          <w:rFonts w:ascii="Calibri" w:hAnsi="Calibri"/>
          <w:b w:val="0"/>
          <w:i w:val="0"/>
          <w:color w:val="1A1A1A"/>
          <w:sz w:val="22"/>
        </w:rPr>
        <w:t xml:space="preserve"> Preferred Stock of Erthos, Inc., structured as follows:</w:t>
      </w:r>
    </w:p>
    <w:p>
      <w:pPr>
        <w:spacing w:before="20" w:after="60" w:line="276" w:lineRule="auto"/>
        <w:ind w:left="576" w:hanging="360"/>
      </w:pPr>
      <w:r>
        <w:rPr>
          <w:rFonts w:ascii="Calibri" w:hAnsi="Calibri"/>
          <w:b/>
          <w:color w:val="2E4B85"/>
          <w:sz w:val="21"/>
        </w:rPr>
        <w:t xml:space="preserve">1.  </w:t>
      </w:r>
      <w:r>
        <w:rPr>
          <w:rFonts w:ascii="Calibri" w:hAnsi="Calibri"/>
          <w:b/>
          <w:i w:val="0"/>
          <w:color w:val="1A1A1A"/>
          <w:sz w:val="22"/>
        </w:rPr>
        <w:t>Primary Security (Series C):</w:t>
      </w:r>
      <w:r>
        <w:rPr>
          <w:rFonts w:ascii="Calibri" w:hAnsi="Calibri"/>
          <w:b w:val="0"/>
          <w:i w:val="0"/>
          <w:color w:val="1A1A1A"/>
          <w:sz w:val="22"/>
        </w:rPr>
        <w:t xml:space="preserve"> Shares of the Company's </w:t>
      </w:r>
      <w:r>
        <w:rPr>
          <w:rFonts w:ascii="Calibri" w:hAnsi="Calibri"/>
          <w:b/>
          <w:i w:val="0"/>
          <w:color w:val="1A1A1A"/>
          <w:sz w:val="22"/>
        </w:rPr>
        <w:t>Series C Preferred Stock</w:t>
      </w:r>
      <w:r>
        <w:rPr>
          <w:rFonts w:ascii="Calibri" w:hAnsi="Calibri"/>
          <w:b w:val="0"/>
          <w:i w:val="0"/>
          <w:color w:val="1A1A1A"/>
          <w:sz w:val="22"/>
        </w:rPr>
        <w:t xml:space="preserve"> (or such series of Preferred Stock issued in the Company's next bona fide equity financing round resulting in gross proceeds to the Company of at least $15,000,000, a "</w:t>
      </w:r>
      <w:r>
        <w:rPr>
          <w:rFonts w:ascii="Calibri" w:hAnsi="Calibri"/>
          <w:b/>
          <w:i w:val="0"/>
          <w:color w:val="1A1A1A"/>
          <w:sz w:val="22"/>
        </w:rPr>
        <w:t>Next Qualified Financing</w:t>
      </w:r>
      <w:r>
        <w:rPr>
          <w:rFonts w:ascii="Calibri" w:hAnsi="Calibri"/>
          <w:b w:val="0"/>
          <w:i w:val="0"/>
          <w:color w:val="1A1A1A"/>
          <w:sz w:val="22"/>
        </w:rPr>
        <w:t>").</w:t>
      </w:r>
    </w:p>
    <w:p>
      <w:pPr>
        <w:spacing w:before="20" w:after="60" w:line="276" w:lineRule="auto"/>
        <w:ind w:left="576" w:hanging="360"/>
      </w:pPr>
      <w:r>
        <w:rPr>
          <w:rFonts w:ascii="Calibri" w:hAnsi="Calibri"/>
          <w:b/>
          <w:color w:val="2E4B85"/>
          <w:sz w:val="21"/>
        </w:rPr>
        <w:t xml:space="preserve">2.  </w:t>
      </w:r>
      <w:r>
        <w:rPr>
          <w:rFonts w:ascii="Calibri" w:hAnsi="Calibri"/>
          <w:b/>
          <w:i w:val="0"/>
          <w:color w:val="1A1A1A"/>
          <w:sz w:val="22"/>
        </w:rPr>
        <w:t>Fallback Security (Senior Preferred):</w:t>
      </w:r>
      <w:r>
        <w:rPr>
          <w:rFonts w:ascii="Calibri" w:hAnsi="Calibri"/>
          <w:b w:val="0"/>
          <w:i w:val="0"/>
          <w:color w:val="1A1A1A"/>
          <w:sz w:val="22"/>
        </w:rPr>
        <w:t xml:space="preserve"> If the Warrant is exercised prior to the closing of a Next Qualified Financing (or if no such closing occurs on or prior to December 31, 2027), the underlying security shall be shares of the Company's most senior authorized and issued series of Preferred Stock existing as of the date of exercise (e.g., </w:t>
      </w:r>
      <w:r>
        <w:rPr>
          <w:rFonts w:ascii="Calibri" w:hAnsi="Calibri"/>
          <w:b/>
          <w:i w:val="0"/>
          <w:color w:val="1A1A1A"/>
          <w:sz w:val="22"/>
        </w:rPr>
        <w:t>Series B Preferred Stock</w:t>
      </w:r>
      <w:r>
        <w:rPr>
          <w:rFonts w:ascii="Calibri" w:hAnsi="Calibri"/>
          <w:b w:val="0"/>
          <w:i w:val="0"/>
          <w:color w:val="1A1A1A"/>
          <w:sz w:val="22"/>
        </w:rPr>
        <w:t>), or such other class or series of capital stock as determined in good faith by the Board of Directors of the Company to represent equivalent economic and structural priority.</w:t>
      </w:r>
    </w:p>
    <w:p>
      <w:pPr>
        <w:keepNext/>
        <w:spacing w:before="200" w:after="60"/>
      </w:pPr>
      <w:r>
        <w:rPr>
          <w:rFonts w:ascii="Calibri" w:hAnsi="Calibri"/>
          <w:b/>
          <w:color w:val="2E4B85"/>
          <w:sz w:val="24"/>
        </w:rPr>
        <w:t>2.3 Share Determination Formula</w:t>
      </w:r>
    </w:p>
    <w:p>
      <w:pPr>
        <w:spacing w:before="0" w:after="80" w:line="276" w:lineRule="auto"/>
      </w:pPr>
      <w:r>
        <w:rPr>
          <w:rFonts w:ascii="Calibri" w:hAnsi="Calibri"/>
          <w:b/>
          <w:i w:val="0"/>
          <w:color w:val="1A1A1A"/>
          <w:sz w:val="22"/>
        </w:rPr>
        <w:t>Number of Warrant Shares:</w:t>
      </w:r>
      <w:r>
        <w:rPr>
          <w:rFonts w:ascii="Calibri" w:hAnsi="Calibri"/>
          <w:b w:val="0"/>
          <w:i w:val="0"/>
          <w:color w:val="1A1A1A"/>
          <w:sz w:val="22"/>
        </w:rPr>
        <w:t xml:space="preserve"> The total number of shares of Preferred Stock issuable upon exercise of the Warrant (the "</w:t>
      </w:r>
      <w:r>
        <w:rPr>
          <w:rFonts w:ascii="Calibri" w:hAnsi="Calibri"/>
          <w:b/>
          <w:i w:val="0"/>
          <w:color w:val="1A1A1A"/>
          <w:sz w:val="22"/>
        </w:rPr>
        <w:t>Warrant Shares</w:t>
      </w:r>
      <w:r>
        <w:rPr>
          <w:rFonts w:ascii="Calibri" w:hAnsi="Calibri"/>
          <w:b w:val="0"/>
          <w:i w:val="0"/>
          <w:color w:val="1A1A1A"/>
          <w:sz w:val="22"/>
        </w:rPr>
        <w:t>") shall be calculated as:</w:t>
      </w:r>
    </w:p>
    <w:tbl>
      <w:tblPr>
        <w:tblW w:type="auto" w:w="0"/>
        <w:jc w:val="center"/>
        <w:tblLayout w:type="fixed"/>
        <w:tblLook w:firstColumn="1" w:firstRow="1" w:lastColumn="0" w:lastRow="0" w:noHBand="0" w:noVBand="1" w:val="04A0"/>
        <w:tblBorders>
          <w:top w:val="single" w:sz="6" w:space="0" w:color="2E4B85"/>
          <w:left w:val="single" w:sz="24" w:space="0" w:color="1F3864"/>
          <w:bottom w:val="single" w:sz="6" w:space="0" w:color="2E4B85"/>
          <w:right w:val="single" w:sz="6" w:space="0" w:color="2E4B85"/>
          <w:insideH w:val="none"/>
          <w:insideV w:val="none"/>
        </w:tblBorders>
      </w:tblPr>
      <w:tblGrid>
        <w:gridCol w:w="9360"/>
      </w:tblGrid>
      <w:tr>
        <w:tc>
          <w:tcPr>
            <w:tcW w:type="dxa" w:w="9360"/>
            <w:shd w:fill="EEF4FC"/>
            <w:tcMar>
              <w:top w:w="140" w:type="dxa"/>
              <w:bottom w:w="140" w:type="dxa"/>
              <w:left w:w="200" w:type="dxa"/>
              <w:right w:w="200" w:type="dxa"/>
            </w:tcMar>
          </w:tcPr>
          <w:p>
            <w:pPr>
              <w:spacing w:before="40" w:after="80"/>
              <w:jc w:val="center"/>
            </w:pPr>
            <w:r>
              <w:rPr>
                <w:rFonts w:ascii="Calibri" w:hAnsi="Calibri"/>
                <w:b/>
                <w:color w:val="1F3864"/>
                <w:sz w:val="20"/>
              </w:rPr>
              <w:t>✦  WARRANT SHARE DETERMINATION FORMULA  ✦</w:t>
              <w:br/>
            </w:r>
            <w:r>
              <w:rPr>
                <w:rFonts w:ascii="Cambria" w:hAnsi="Cambria"/>
                <w:b/>
                <w:color w:val="1F3864"/>
                <w:sz w:val="24"/>
              </w:rPr>
              <w:t xml:space="preserve">                      Aggregate Equity Value ($4,560,000.00)</w:t>
              <w:br/>
            </w:r>
            <w:r>
              <w:rPr>
                <w:rFonts w:ascii="Cambria" w:hAnsi="Cambria"/>
                <w:b/>
                <w:color w:val="1F3864"/>
                <w:sz w:val="24"/>
              </w:rPr>
              <w:t>Warrant Shares  =  ──────────────────────────────────────────</w:t>
              <w:br/>
            </w:r>
            <w:r>
              <w:rPr>
                <w:rFonts w:ascii="Cambria" w:hAnsi="Cambria"/>
                <w:b/>
                <w:color w:val="1F3864"/>
                <w:sz w:val="24"/>
              </w:rPr>
              <w:t xml:space="preserve">                            Applicable Per Share Price</w:t>
              <w:br/>
            </w:r>
          </w:p>
        </w:tc>
      </w:tr>
    </w:tbl>
    <w:p>
      <w:pPr>
        <w:spacing w:before="0" w:after="80"/>
      </w:pPr>
    </w:p>
    <w:p>
      <w:pPr>
        <w:spacing w:before="0" w:after="80" w:line="276" w:lineRule="auto"/>
      </w:pPr>
      <w:r>
        <w:rPr>
          <w:rFonts w:ascii="Calibri" w:hAnsi="Calibri"/>
          <w:b/>
          <w:i w:val="0"/>
          <w:color w:val="1A1A1A"/>
          <w:sz w:val="22"/>
        </w:rPr>
        <w:t>Applicable Per Share Price Defined:</w:t>
      </w:r>
    </w:p>
    <w:p>
      <w:pPr>
        <w:spacing w:before="20" w:after="60" w:line="276" w:lineRule="auto"/>
        <w:ind w:left="576" w:hanging="360"/>
      </w:pPr>
      <w:r>
        <w:rPr>
          <w:rFonts w:ascii="Calibri" w:hAnsi="Calibri"/>
          <w:b/>
          <w:color w:val="2E4B85"/>
          <w:sz w:val="21"/>
        </w:rPr>
        <w:t xml:space="preserve">1.  </w:t>
      </w:r>
      <w:r>
        <w:rPr>
          <w:rFonts w:ascii="Calibri" w:hAnsi="Calibri"/>
          <w:b/>
          <w:i w:val="0"/>
          <w:color w:val="1A1A1A"/>
          <w:sz w:val="22"/>
        </w:rPr>
        <w:t>Series C Preferred Stock:</w:t>
      </w:r>
      <w:r>
        <w:rPr>
          <w:rFonts w:ascii="Calibri" w:hAnsi="Calibri"/>
          <w:b w:val="0"/>
          <w:i w:val="0"/>
          <w:color w:val="1A1A1A"/>
          <w:sz w:val="22"/>
        </w:rPr>
        <w:t xml:space="preserve"> The lowest per-share cash purchase price paid by new cash investors in the initial closing of the Next Qualified Financing; or</w:t>
      </w:r>
    </w:p>
    <w:p>
      <w:pPr>
        <w:spacing w:before="20" w:after="60" w:line="276" w:lineRule="auto"/>
        <w:ind w:left="576" w:hanging="360"/>
      </w:pPr>
      <w:r>
        <w:rPr>
          <w:rFonts w:ascii="Calibri" w:hAnsi="Calibri"/>
          <w:b/>
          <w:color w:val="2E4B85"/>
          <w:sz w:val="21"/>
        </w:rPr>
        <w:t xml:space="preserve">2.  </w:t>
      </w:r>
      <w:r>
        <w:rPr>
          <w:rFonts w:ascii="Calibri" w:hAnsi="Calibri"/>
          <w:b/>
          <w:i w:val="0"/>
          <w:color w:val="1A1A1A"/>
          <w:sz w:val="22"/>
        </w:rPr>
        <w:t>Series B Preferred Stock (Fallback):</w:t>
      </w:r>
      <w:r>
        <w:rPr>
          <w:rFonts w:ascii="Calibri" w:hAnsi="Calibri"/>
          <w:b w:val="0"/>
          <w:i w:val="0"/>
          <w:color w:val="1A1A1A"/>
          <w:sz w:val="22"/>
        </w:rPr>
        <w:t xml:space="preserve"> The original issue price per share of the Company's Series B Preferred Stock as set forth in the Company's Certificate of Incorporation (as adjusted for stock splits, recapitalizations, or reclassifications); provided, that if the Board determines in good faith that such original issue price does not reasonably reflect the fair market value of such shares as of the Original Issue Date, the Applicable Per Share Price shall be the fair market value per share of Series B Preferred Stock as determined in good faith by the Board, supported by an independent third-party valuation (e.g., Section 409A valuation or independent appraisal).</w:t>
      </w:r>
    </w:p>
    <w:p>
      <w:pPr>
        <w:keepNext/>
        <w:spacing w:before="200" w:after="60"/>
      </w:pPr>
      <w:r>
        <w:rPr>
          <w:rFonts w:ascii="Calibri" w:hAnsi="Calibri"/>
          <w:b/>
          <w:color w:val="2E4B85"/>
          <w:sz w:val="24"/>
        </w:rPr>
        <w:t>2.4 Exercise Terms &amp; Mechanics</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Exercise Price:</w:t>
      </w:r>
      <w:r>
        <w:rPr>
          <w:rFonts w:ascii="Calibri" w:hAnsi="Calibri"/>
          <w:b w:val="0"/>
          <w:i w:val="0"/>
          <w:color w:val="1A1A1A"/>
          <w:sz w:val="22"/>
        </w:rPr>
        <w:t xml:space="preserve"> </w:t>
      </w:r>
      <w:r>
        <w:rPr>
          <w:rFonts w:ascii="Calibri" w:hAnsi="Calibri"/>
          <w:b/>
          <w:i w:val="0"/>
          <w:color w:val="1A1A1A"/>
          <w:sz w:val="22"/>
        </w:rPr>
        <w:t>$0.01 per share</w:t>
      </w:r>
      <w:r>
        <w:rPr>
          <w:rFonts w:ascii="Calibri" w:hAnsi="Calibri"/>
          <w:b w:val="0"/>
          <w:i w:val="0"/>
          <w:color w:val="1A1A1A"/>
          <w:sz w:val="22"/>
        </w:rPr>
        <w:t xml:space="preserve"> (the "Penny Strike"), subject to equitable adjustment for stock splits, combinations, reorganizations, or recapitalizations.</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Vesting:</w:t>
      </w:r>
      <w:r>
        <w:rPr>
          <w:rFonts w:ascii="Calibri" w:hAnsi="Calibri"/>
          <w:b w:val="0"/>
          <w:i w:val="0"/>
          <w:color w:val="1A1A1A"/>
          <w:sz w:val="22"/>
        </w:rPr>
        <w:t xml:space="preserve"> </w:t>
      </w:r>
      <w:r>
        <w:rPr>
          <w:rFonts w:ascii="Calibri" w:hAnsi="Calibri"/>
          <w:b/>
          <w:i w:val="0"/>
          <w:color w:val="1A1A1A"/>
          <w:sz w:val="22"/>
        </w:rPr>
        <w:t>100% fully vested</w:t>
      </w:r>
      <w:r>
        <w:rPr>
          <w:rFonts w:ascii="Calibri" w:hAnsi="Calibri"/>
          <w:b w:val="0"/>
          <w:i w:val="0"/>
          <w:color w:val="1A1A1A"/>
          <w:sz w:val="22"/>
        </w:rPr>
        <w:t xml:space="preserve"> as of the date of original issuance.</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Term / Expiration:</w:t>
      </w:r>
      <w:r>
        <w:rPr>
          <w:rFonts w:ascii="Calibri" w:hAnsi="Calibri"/>
          <w:b w:val="0"/>
          <w:i w:val="0"/>
          <w:color w:val="1A1A1A"/>
          <w:sz w:val="22"/>
        </w:rPr>
        <w:t xml:space="preserve"> </w:t>
      </w:r>
      <w:r>
        <w:rPr>
          <w:rFonts w:ascii="Calibri" w:hAnsi="Calibri"/>
          <w:b/>
          <w:i w:val="0"/>
          <w:color w:val="1A1A1A"/>
          <w:sz w:val="22"/>
        </w:rPr>
        <w:t>Ten (10) years</w:t>
      </w:r>
      <w:r>
        <w:rPr>
          <w:rFonts w:ascii="Calibri" w:hAnsi="Calibri"/>
          <w:b w:val="0"/>
          <w:i w:val="0"/>
          <w:color w:val="1A1A1A"/>
          <w:sz w:val="22"/>
        </w:rPr>
        <w:t xml:space="preserve"> from the date of issuance (the "Expiration Date"), expiring at 5:00 p.m. Pacific Time on the tenth anniversary, subject to earlier termination upon an unassumed Acquisition or Deemed Liquidation Event as described below.</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Manner of Exercise:</w:t>
      </w:r>
      <w:r>
        <w:rPr>
          <w:rFonts w:ascii="Calibri" w:hAnsi="Calibri"/>
          <w:b w:val="0"/>
          <w:i w:val="0"/>
          <w:color w:val="1A1A1A"/>
          <w:sz w:val="22"/>
        </w:rPr>
        <w:t xml:space="preserve"> Exercisable in whole or in part at any time and from time to time prior to expiration at the election of Holder by either:</w:t>
      </w:r>
    </w:p>
    <w:p>
      <w:pPr>
        <w:spacing w:before="20" w:after="60" w:line="276" w:lineRule="auto"/>
        <w:ind w:left="576" w:hanging="360"/>
      </w:pPr>
      <w:r>
        <w:rPr>
          <w:rFonts w:ascii="Calibri" w:hAnsi="Calibri"/>
          <w:b/>
          <w:color w:val="2E4B85"/>
          <w:sz w:val="21"/>
        </w:rPr>
        <w:t xml:space="preserve">1.  </w:t>
      </w:r>
      <w:r>
        <w:rPr>
          <w:rFonts w:ascii="Calibri" w:hAnsi="Calibri"/>
          <w:b/>
          <w:i w:val="0"/>
          <w:color w:val="1A1A1A"/>
          <w:sz w:val="22"/>
        </w:rPr>
        <w:t>Cash Exercise:</w:t>
      </w:r>
      <w:r>
        <w:rPr>
          <w:rFonts w:ascii="Calibri" w:hAnsi="Calibri"/>
          <w:b w:val="0"/>
          <w:i w:val="0"/>
          <w:color w:val="1A1A1A"/>
          <w:sz w:val="22"/>
        </w:rPr>
        <w:t xml:space="preserve"> Delivery of written Notice of Exercise together with payment of the aggregate Exercise Price ($0.01 per share exercised) via wire transfer of immediately available funds; or</w:t>
      </w:r>
    </w:p>
    <w:p>
      <w:pPr>
        <w:spacing w:before="20" w:after="60" w:line="276" w:lineRule="auto"/>
        <w:ind w:left="576" w:hanging="360"/>
      </w:pPr>
      <w:r>
        <w:rPr>
          <w:rFonts w:ascii="Calibri" w:hAnsi="Calibri"/>
          <w:b/>
          <w:color w:val="2E4B85"/>
          <w:sz w:val="21"/>
        </w:rPr>
        <w:t xml:space="preserve">2.  </w:t>
      </w:r>
      <w:r>
        <w:rPr>
          <w:rFonts w:ascii="Calibri" w:hAnsi="Calibri"/>
          <w:b/>
          <w:i w:val="0"/>
          <w:color w:val="1A1A1A"/>
          <w:sz w:val="22"/>
        </w:rPr>
        <w:t>Net Exercise / Cashless Exercise:</w:t>
      </w:r>
      <w:r>
        <w:rPr>
          <w:rFonts w:ascii="Calibri" w:hAnsi="Calibri"/>
          <w:b w:val="0"/>
          <w:i w:val="0"/>
          <w:color w:val="1A1A1A"/>
          <w:sz w:val="22"/>
        </w:rPr>
        <w:t xml:space="preserve"> Election to receive Warrant Shares net of the aggregate Exercise Price, calculated according to the customary cashless exercise formula:</w:t>
      </w:r>
    </w:p>
    <w:tbl>
      <w:tblPr>
        <w:tblW w:type="auto" w:w="0"/>
        <w:jc w:val="center"/>
        <w:tblLayout w:type="fixed"/>
        <w:tblLook w:firstColumn="1" w:firstRow="1" w:lastColumn="0" w:lastRow="0" w:noHBand="0" w:noVBand="1" w:val="04A0"/>
        <w:tblBorders>
          <w:top w:val="single" w:sz="6" w:space="0" w:color="2E4B85"/>
          <w:left w:val="single" w:sz="24" w:space="0" w:color="1F3864"/>
          <w:bottom w:val="single" w:sz="6" w:space="0" w:color="2E4B85"/>
          <w:right w:val="single" w:sz="6" w:space="0" w:color="2E4B85"/>
          <w:insideH w:val="none"/>
          <w:insideV w:val="none"/>
        </w:tblBorders>
      </w:tblPr>
      <w:tblGrid>
        <w:gridCol w:w="9360"/>
      </w:tblGrid>
      <w:tr>
        <w:tc>
          <w:tcPr>
            <w:tcW w:type="dxa" w:w="9360"/>
            <w:shd w:fill="EEF4FC"/>
            <w:tcMar>
              <w:top w:w="140" w:type="dxa"/>
              <w:bottom w:w="140" w:type="dxa"/>
              <w:left w:w="200" w:type="dxa"/>
              <w:right w:w="200" w:type="dxa"/>
            </w:tcMar>
          </w:tcPr>
          <w:p>
            <w:pPr>
              <w:spacing w:before="40" w:after="80"/>
              <w:jc w:val="center"/>
            </w:pPr>
            <w:r>
              <w:rPr>
                <w:rFonts w:ascii="Calibri" w:hAnsi="Calibri"/>
                <w:b/>
                <w:color w:val="1F3864"/>
                <w:sz w:val="20"/>
              </w:rPr>
              <w:t>✦  NET / CASHLESS EXERCISE FORMULA  ✦</w:t>
              <w:br/>
            </w:r>
            <w:r>
              <w:rPr>
                <w:rFonts w:ascii="Cambria" w:hAnsi="Cambria"/>
                <w:b/>
                <w:color w:val="1F3864"/>
                <w:sz w:val="24"/>
              </w:rPr>
              <w:t xml:space="preserve">        Y × (A - B)</w:t>
              <w:br/>
            </w:r>
            <w:r>
              <w:rPr>
                <w:rFonts w:ascii="Cambria" w:hAnsi="Cambria"/>
                <w:b/>
                <w:color w:val="1F3864"/>
                <w:sz w:val="24"/>
              </w:rPr>
              <w:t>X  =  ─────────────</w:t>
              <w:br/>
            </w:r>
            <w:r>
              <w:rPr>
                <w:rFonts w:ascii="Cambria" w:hAnsi="Cambria"/>
                <w:b/>
                <w:color w:val="1F3864"/>
                <w:sz w:val="24"/>
              </w:rPr>
              <w:t xml:space="preserve">            A      </w:t>
              <w:br/>
            </w:r>
          </w:p>
          <w:p>
            <w:pPr>
              <w:spacing w:before="80" w:after="40" w:line="276" w:lineRule="auto"/>
            </w:pPr>
            <w:r>
              <w:rPr>
                <w:rFonts w:ascii="Calibri" w:hAnsi="Calibri"/>
                <w:b/>
                <w:color w:val="1F3864"/>
                <w:sz w:val="20"/>
              </w:rPr>
              <w:t>Where:</w:t>
              <w:br/>
            </w:r>
            <w:r>
              <w:rPr>
                <w:rFonts w:ascii="Calibri" w:hAnsi="Calibri"/>
                <w:b w:val="0"/>
                <w:i w:val="0"/>
                <w:color w:val="1A1A1A"/>
                <w:sz w:val="20"/>
              </w:rPr>
              <w:t>• X = Net number of Warrant Shares issued to Holder</w:t>
              <w:br/>
            </w:r>
            <w:r>
              <w:rPr>
                <w:rFonts w:ascii="Calibri" w:hAnsi="Calibri"/>
                <w:b w:val="0"/>
                <w:i w:val="0"/>
                <w:color w:val="1A1A1A"/>
                <w:sz w:val="20"/>
              </w:rPr>
              <w:t>• Y = Number of Warrant Shares with respect to which the Warrant is being exercised</w:t>
              <w:br/>
            </w:r>
            <w:r>
              <w:rPr>
                <w:rFonts w:ascii="Calibri" w:hAnsi="Calibri"/>
                <w:b w:val="0"/>
                <w:i w:val="0"/>
                <w:color w:val="1A1A1A"/>
                <w:sz w:val="20"/>
              </w:rPr>
              <w:t>• A = Fair Market Value of one Warrant Share as of the exercise date</w:t>
              <w:br/>
            </w:r>
            <w:r>
              <w:rPr>
                <w:rFonts w:ascii="Calibri" w:hAnsi="Calibri"/>
                <w:b w:val="0"/>
                <w:i w:val="0"/>
                <w:color w:val="1A1A1A"/>
                <w:sz w:val="20"/>
              </w:rPr>
              <w:t>• B = Exercise Price ($0.01 per share)</w:t>
              <w:br/>
            </w:r>
          </w:p>
        </w:tc>
      </w:tr>
    </w:tbl>
    <w:p>
      <w:pPr>
        <w:spacing w:before="0" w:after="80"/>
      </w:pP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Fractional Shares:</w:t>
      </w:r>
      <w:r>
        <w:rPr>
          <w:rFonts w:ascii="Calibri" w:hAnsi="Calibri"/>
          <w:b w:val="0"/>
          <w:i w:val="0"/>
          <w:color w:val="1A1A1A"/>
          <w:sz w:val="22"/>
        </w:rPr>
        <w:t xml:space="preserve"> No fractional shares shall be issued. In lieu thereof, the Company shall pay a cash amount equal to such fraction multiplied by the then-current Fair Market Value per share.</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Share Delivery:</w:t>
      </w:r>
      <w:r>
        <w:rPr>
          <w:rFonts w:ascii="Calibri" w:hAnsi="Calibri"/>
          <w:b w:val="0"/>
          <w:i w:val="0"/>
          <w:color w:val="1A1A1A"/>
          <w:sz w:val="22"/>
        </w:rPr>
        <w:t xml:space="preserve"> Within three (3) business days following receipt of the Notice of Exercise and Exercise Price (or cashless exercise election), the Company shall deliver DRS book-entry statements or physical certificates representing the Warrant Shares.</w:t>
      </w:r>
    </w:p>
    <w:p>
      <w:pPr>
        <w:keepNext/>
        <w:spacing w:before="200" w:after="60"/>
      </w:pPr>
      <w:r>
        <w:rPr>
          <w:rFonts w:ascii="Calibri" w:hAnsi="Calibri"/>
          <w:b/>
          <w:color w:val="2E4B85"/>
          <w:sz w:val="24"/>
        </w:rPr>
        <w:t>2.5 Treatment upon Deemed Liquidation Event / Acquisition</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Advance Notice:</w:t>
      </w:r>
      <w:r>
        <w:rPr>
          <w:rFonts w:ascii="Calibri" w:hAnsi="Calibri"/>
          <w:b w:val="0"/>
          <w:i w:val="0"/>
          <w:color w:val="1A1A1A"/>
          <w:sz w:val="22"/>
        </w:rPr>
        <w:t xml:space="preserve"> The Company shall provide PSH with at least </w:t>
      </w:r>
      <w:r>
        <w:rPr>
          <w:rFonts w:ascii="Calibri" w:hAnsi="Calibri"/>
          <w:b/>
          <w:i w:val="0"/>
          <w:color w:val="1A1A1A"/>
          <w:sz w:val="22"/>
        </w:rPr>
        <w:t>twenty (20) business days' prior written notice</w:t>
      </w:r>
      <w:r>
        <w:rPr>
          <w:rFonts w:ascii="Calibri" w:hAnsi="Calibri"/>
          <w:b w:val="0"/>
          <w:i w:val="0"/>
          <w:color w:val="1A1A1A"/>
          <w:sz w:val="22"/>
        </w:rPr>
        <w:t xml:space="preserve"> of the anticipated closing of any Acquisition, Change of Control, consolidation, merger, or Deemed Liquidation Event (as defined in the Company's Certificate of Incorporation).</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Right to Exercise:</w:t>
      </w:r>
      <w:r>
        <w:rPr>
          <w:rFonts w:ascii="Calibri" w:hAnsi="Calibri"/>
          <w:b w:val="0"/>
          <w:i w:val="0"/>
          <w:color w:val="1A1A1A"/>
          <w:sz w:val="22"/>
        </w:rPr>
        <w:t xml:space="preserve"> PSH shall have the right to exercise the Warrant prior to, or contingent upon, the closing of such transaction.</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Automatic Cashless Conversion:</w:t>
      </w:r>
      <w:r>
        <w:rPr>
          <w:rFonts w:ascii="Calibri" w:hAnsi="Calibri"/>
          <w:b w:val="0"/>
          <w:i w:val="0"/>
          <w:color w:val="1A1A1A"/>
          <w:sz w:val="22"/>
        </w:rPr>
        <w:t xml:space="preserve"> To the extent not exercised prior to closing, the Warrant shall either be assumed by the surviving or acquiring entity (with equivalent value and terms) or, if not assumed, automatically converted via cashless exercise immediately prior to the effective time of the transaction, entitling PSH to receive the same transaction consideration per share payable to holders of the underlying Preferred Stock, less the nominal Exercise Price.</w:t>
      </w:r>
    </w:p>
    <w:p>
      <w:pPr>
        <w:keepNext/>
        <w:spacing w:before="200" w:after="60"/>
      </w:pPr>
      <w:r>
        <w:rPr>
          <w:rFonts w:ascii="Calibri" w:hAnsi="Calibri"/>
          <w:b/>
          <w:color w:val="2E4B85"/>
          <w:sz w:val="24"/>
        </w:rPr>
        <w:t>2.6 Structural Intent &amp; Governance Impact</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Non-Voting Equity Upside:</w:t>
      </w:r>
      <w:r>
        <w:rPr>
          <w:rFonts w:ascii="Calibri" w:hAnsi="Calibri"/>
          <w:b w:val="0"/>
          <w:i w:val="0"/>
          <w:color w:val="1A1A1A"/>
          <w:sz w:val="22"/>
        </w:rPr>
        <w:t xml:space="preserve"> The Warrant is structured intentionally as a penny warrant ($0.01 strike) to provide PSH with the agreed $4.56M equity upside in consideration of the financing without triggering immediate voting rights, shareholder agreements, board representation, or cap table administration prior to exercise.</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No Stockholder Rights Prior to Exercise:</w:t>
      </w:r>
      <w:r>
        <w:rPr>
          <w:rFonts w:ascii="Calibri" w:hAnsi="Calibri"/>
          <w:b w:val="0"/>
          <w:i w:val="0"/>
          <w:color w:val="1A1A1A"/>
          <w:sz w:val="22"/>
        </w:rPr>
        <w:t xml:space="preserve"> Prior to exercise, the Warrant shall not confer upon PSH any voting rights, dividend rights (except anti-dilution protections for extraordinary distributions), or other rights as a stockholder of the Company.</w:t>
      </w:r>
    </w:p>
    <w:p>
      <w:pPr>
        <w:keepNext/>
        <w:spacing w:before="200" w:after="60"/>
      </w:pPr>
      <w:r>
        <w:rPr>
          <w:rFonts w:ascii="Calibri" w:hAnsi="Calibri"/>
          <w:b/>
          <w:color w:val="2E4B85"/>
          <w:sz w:val="24"/>
        </w:rPr>
        <w:t>2.7 Anti-Dilution &amp; Adjustments</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Structural Anti-Dilution:</w:t>
      </w:r>
      <w:r>
        <w:rPr>
          <w:rFonts w:ascii="Calibri" w:hAnsi="Calibri"/>
          <w:b w:val="0"/>
          <w:i w:val="0"/>
          <w:color w:val="1A1A1A"/>
          <w:sz w:val="22"/>
        </w:rPr>
        <w:t xml:space="preserve"> Customary proportional adjustments to the number of Warrant Shares and Exercise Price in the event of stock splits, combinations, stock dividends, reclassifications, recapitalizations, or reorganizations.</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Extraordinary Distributions:</w:t>
      </w:r>
      <w:r>
        <w:rPr>
          <w:rFonts w:ascii="Calibri" w:hAnsi="Calibri"/>
          <w:b w:val="0"/>
          <w:i w:val="0"/>
          <w:color w:val="1A1A1A"/>
          <w:sz w:val="22"/>
        </w:rPr>
        <w:t xml:space="preserve"> If the Company declares or makes any distribution of cash, indebtedness, or assets to holders of Preferred Stock, PSH shall be entitled upon exercise to receive such distributed property as if it had exercised immediately prior to the record date for such distribution.</w:t>
      </w:r>
    </w:p>
    <w:p>
      <w:pPr>
        <w:keepNext/>
        <w:spacing w:before="200" w:after="60"/>
      </w:pPr>
      <w:r>
        <w:rPr>
          <w:rFonts w:ascii="Calibri" w:hAnsi="Calibri"/>
          <w:b/>
          <w:color w:val="2E4B85"/>
          <w:sz w:val="24"/>
        </w:rPr>
        <w:t>2.8 Information &amp; Registration Rights</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Registration Rights:</w:t>
      </w:r>
      <w:r>
        <w:rPr>
          <w:rFonts w:ascii="Calibri" w:hAnsi="Calibri"/>
          <w:b w:val="0"/>
          <w:i w:val="0"/>
          <w:color w:val="1A1A1A"/>
          <w:sz w:val="22"/>
        </w:rPr>
        <w:t xml:space="preserve"> PSH shall be granted customary </w:t>
      </w:r>
      <w:r>
        <w:rPr>
          <w:rFonts w:ascii="Calibri" w:hAnsi="Calibri"/>
          <w:b/>
          <w:i w:val="0"/>
          <w:color w:val="1A1A1A"/>
          <w:sz w:val="22"/>
        </w:rPr>
        <w:t>piggyback registration rights</w:t>
      </w:r>
      <w:r>
        <w:rPr>
          <w:rFonts w:ascii="Calibri" w:hAnsi="Calibri"/>
          <w:b w:val="0"/>
          <w:i w:val="0"/>
          <w:color w:val="1A1A1A"/>
          <w:sz w:val="22"/>
        </w:rPr>
        <w:t xml:space="preserve"> pari passu with the rights granted to major preferred stock investors in the Company's Investor Rights Agreement for the Warrant Shares and any Common Stock issuable upon conversion of the Warrant Shares.</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Information Rights:</w:t>
      </w:r>
      <w:r>
        <w:rPr>
          <w:rFonts w:ascii="Calibri" w:hAnsi="Calibri"/>
          <w:b w:val="0"/>
          <w:i w:val="0"/>
          <w:color w:val="1A1A1A"/>
          <w:sz w:val="22"/>
        </w:rPr>
        <w:t xml:space="preserve"> For so long as the Warrant remains outstanding and unexercised, PSH shall receive:</w:t>
      </w:r>
    </w:p>
    <w:p>
      <w:pPr>
        <w:spacing w:before="20" w:after="60" w:line="276" w:lineRule="auto"/>
        <w:ind w:left="576" w:hanging="360"/>
      </w:pPr>
      <w:r>
        <w:rPr>
          <w:rFonts w:ascii="Calibri" w:hAnsi="Calibri"/>
          <w:b/>
          <w:color w:val="2E4B85"/>
          <w:sz w:val="21"/>
        </w:rPr>
        <w:t xml:space="preserve">1.  </w:t>
      </w:r>
      <w:r>
        <w:rPr>
          <w:rFonts w:ascii="Calibri" w:hAnsi="Calibri"/>
          <w:b w:val="0"/>
          <w:i w:val="0"/>
          <w:color w:val="1A1A1A"/>
          <w:sz w:val="22"/>
        </w:rPr>
        <w:t>Unaudited quarterly financial statements within 45 days after the end of each fiscal quarter;</w:t>
      </w:r>
    </w:p>
    <w:p>
      <w:pPr>
        <w:spacing w:before="20" w:after="60" w:line="276" w:lineRule="auto"/>
        <w:ind w:left="576" w:hanging="360"/>
      </w:pPr>
      <w:r>
        <w:rPr>
          <w:rFonts w:ascii="Calibri" w:hAnsi="Calibri"/>
          <w:b/>
          <w:color w:val="2E4B85"/>
          <w:sz w:val="21"/>
        </w:rPr>
        <w:t xml:space="preserve">2.  </w:t>
      </w:r>
      <w:r>
        <w:rPr>
          <w:rFonts w:ascii="Calibri" w:hAnsi="Calibri"/>
          <w:b w:val="0"/>
          <w:i w:val="0"/>
          <w:color w:val="1A1A1A"/>
          <w:sz w:val="22"/>
        </w:rPr>
        <w:t>Audited annual financial statements within 120 days after the end of each fiscal year; and</w:t>
      </w:r>
    </w:p>
    <w:p>
      <w:pPr>
        <w:spacing w:before="20" w:after="60" w:line="276" w:lineRule="auto"/>
        <w:ind w:left="576" w:hanging="360"/>
      </w:pPr>
      <w:r>
        <w:rPr>
          <w:rFonts w:ascii="Calibri" w:hAnsi="Calibri"/>
          <w:b/>
          <w:color w:val="2E4B85"/>
          <w:sz w:val="21"/>
        </w:rPr>
        <w:t xml:space="preserve">3.  </w:t>
      </w:r>
      <w:r>
        <w:rPr>
          <w:rFonts w:ascii="Calibri" w:hAnsi="Calibri"/>
          <w:b w:val="0"/>
          <w:i w:val="0"/>
          <w:color w:val="1A1A1A"/>
          <w:sz w:val="22"/>
        </w:rPr>
        <w:t>Notice of material corporate actions, record dates, dividend declarations, proposed equity financings, and shareholder meetings at least 15 business days in advance.</w:t>
      </w:r>
    </w:p>
    <w:p>
      <w:pPr>
        <w:keepNext/>
        <w:spacing w:before="200" w:after="60"/>
      </w:pPr>
      <w:r>
        <w:rPr>
          <w:rFonts w:ascii="Calibri" w:hAnsi="Calibri"/>
          <w:b/>
          <w:color w:val="2E4B85"/>
          <w:sz w:val="24"/>
        </w:rPr>
        <w:t>2.9 Transfer Restrictions</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Affiliate Transfers:</w:t>
      </w:r>
      <w:r>
        <w:rPr>
          <w:rFonts w:ascii="Calibri" w:hAnsi="Calibri"/>
          <w:b w:val="0"/>
          <w:i w:val="0"/>
          <w:color w:val="1A1A1A"/>
          <w:sz w:val="22"/>
        </w:rPr>
        <w:t xml:space="preserve"> The Warrant and all rights hereunder may be assigned or transferred in whole or in part without the Company's consent to any affiliate of PSH or funds/vehicles managed by or under common control with PSH or its principals (including Capricorn Investment Group entities), subject to compliance with federal and state securities laws.</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Third-Party Transfers:</w:t>
      </w:r>
      <w:r>
        <w:rPr>
          <w:rFonts w:ascii="Calibri" w:hAnsi="Calibri"/>
          <w:b w:val="0"/>
          <w:i w:val="0"/>
          <w:color w:val="1A1A1A"/>
          <w:sz w:val="22"/>
        </w:rPr>
        <w:t xml:space="preserve"> Any other transfer shall require the prior written consent of the Company, which consent shall not be unreasonably withheld, conditioned, or delayed.</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Securities Law Compliance:</w:t>
      </w:r>
      <w:r>
        <w:rPr>
          <w:rFonts w:ascii="Calibri" w:hAnsi="Calibri"/>
          <w:b w:val="0"/>
          <w:i w:val="0"/>
          <w:color w:val="1A1A1A"/>
          <w:sz w:val="22"/>
        </w:rPr>
        <w:t xml:space="preserve"> Private placement restrictions under Regulation D / Section 4(a)(2) of the Securities Act; standard 1933 Act restrictive legends.</w:t>
      </w:r>
    </w:p>
    <w:p>
      <w:pPr>
        <w:keepNext/>
        <w:spacing w:before="200" w:after="60"/>
      </w:pPr>
      <w:r>
        <w:rPr>
          <w:rFonts w:ascii="Calibri" w:hAnsi="Calibri"/>
          <w:b/>
          <w:color w:val="2E4B85"/>
          <w:sz w:val="24"/>
        </w:rPr>
        <w:t>2.10 Tax &amp; Accounting Treatment</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Investment Unit Characterization:</w:t>
      </w:r>
      <w:r>
        <w:rPr>
          <w:rFonts w:ascii="Calibri" w:hAnsi="Calibri"/>
          <w:b w:val="0"/>
          <w:i w:val="0"/>
          <w:color w:val="1A1A1A"/>
          <w:sz w:val="22"/>
        </w:rPr>
        <w:t xml:space="preserve"> Under Internal Revenue Code § 1273(c)(2) and Treasury Regulation § 1.1273-2(h), the Tranche B Loan and the Warrant constitute an "investment unit." The aggregate issue price of the investment unit shall be allocated between the debt instrument (Tranche B Loan) and the Warrant based on their relative fair market values.</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Debt Discount / OID:</w:t>
      </w:r>
      <w:r>
        <w:rPr>
          <w:rFonts w:ascii="Calibri" w:hAnsi="Calibri"/>
          <w:b w:val="0"/>
          <w:i w:val="0"/>
          <w:color w:val="1A1A1A"/>
          <w:sz w:val="22"/>
        </w:rPr>
        <w:t xml:space="preserve"> The amount allocated to the Warrant will be treated as an original issue discount ("OID") or debt discount with respect to the Tranche B Loan for tax and financial accounting (GAAP) purposes, amortized over the remaining term of the loan facility.</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Consistent Reporting:</w:t>
      </w:r>
      <w:r>
        <w:rPr>
          <w:rFonts w:ascii="Calibri" w:hAnsi="Calibri"/>
          <w:b w:val="0"/>
          <w:i w:val="0"/>
          <w:color w:val="1A1A1A"/>
          <w:sz w:val="22"/>
        </w:rPr>
        <w:t xml:space="preserve"> The Company and PSH agree to report the transaction consistently for all tax and accounting purposes.</w:t>
      </w:r>
    </w:p>
    <w:p>
      <w:pPr>
        <w:keepNext/>
        <w:spacing w:before="200" w:after="60"/>
      </w:pPr>
      <w:r>
        <w:rPr>
          <w:rFonts w:ascii="Calibri" w:hAnsi="Calibri"/>
          <w:b/>
          <w:color w:val="2E4B85"/>
          <w:sz w:val="24"/>
        </w:rPr>
        <w:t>2.11 Governing Law &amp; Approvals</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Governing Law:</w:t>
      </w:r>
      <w:r>
        <w:rPr>
          <w:rFonts w:ascii="Calibri" w:hAnsi="Calibri"/>
          <w:b w:val="0"/>
          <w:i w:val="0"/>
          <w:color w:val="1A1A1A"/>
          <w:sz w:val="22"/>
        </w:rPr>
        <w:t xml:space="preserve"> State of Delaware, with exclusive jurisdiction in the Delaware Court of Chancery (or federal/state courts in Wilmington, Delaware).</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Conditions Precedent to Issuance:</w:t>
      </w:r>
    </w:p>
    <w:p>
      <w:pPr>
        <w:spacing w:before="20" w:after="60" w:line="276" w:lineRule="auto"/>
        <w:ind w:left="576" w:hanging="360"/>
      </w:pPr>
      <w:r>
        <w:rPr>
          <w:rFonts w:ascii="Calibri" w:hAnsi="Calibri"/>
          <w:b/>
          <w:color w:val="2E4B85"/>
          <w:sz w:val="21"/>
        </w:rPr>
        <w:t xml:space="preserve">1.  </w:t>
      </w:r>
      <w:r>
        <w:rPr>
          <w:rFonts w:ascii="Calibri" w:hAnsi="Calibri"/>
          <w:b w:val="0"/>
          <w:i w:val="0"/>
          <w:color w:val="1A1A1A"/>
          <w:sz w:val="22"/>
        </w:rPr>
        <w:t>Approval and formal adoption of board resolutions by the Board of Directors of Erthos, Inc. authorizing the issuance of the Warrant, execution of the Warrant Agreement, and reservation of underlying shares;</w:t>
      </w:r>
    </w:p>
    <w:p>
      <w:pPr>
        <w:spacing w:before="20" w:after="60" w:line="276" w:lineRule="auto"/>
        <w:ind w:left="576" w:hanging="360"/>
      </w:pPr>
      <w:r>
        <w:rPr>
          <w:rFonts w:ascii="Calibri" w:hAnsi="Calibri"/>
          <w:b/>
          <w:color w:val="2E4B85"/>
          <w:sz w:val="21"/>
        </w:rPr>
        <w:t xml:space="preserve">2.  </w:t>
      </w:r>
      <w:r>
        <w:rPr>
          <w:rFonts w:ascii="Calibri" w:hAnsi="Calibri"/>
          <w:b w:val="0"/>
          <w:i w:val="0"/>
          <w:color w:val="1A1A1A"/>
          <w:sz w:val="22"/>
        </w:rPr>
        <w:t>Requisite stockholder consents or waivers of preemptive rights / rights of first offer under existing investor rights agreements; and</w:t>
      </w:r>
    </w:p>
    <w:p>
      <w:pPr>
        <w:spacing w:before="20" w:after="60" w:line="276" w:lineRule="auto"/>
        <w:ind w:left="576" w:hanging="360"/>
      </w:pPr>
      <w:r>
        <w:rPr>
          <w:rFonts w:ascii="Calibri" w:hAnsi="Calibri"/>
          <w:b/>
          <w:color w:val="2E4B85"/>
          <w:sz w:val="21"/>
        </w:rPr>
        <w:t xml:space="preserve">3.  </w:t>
      </w:r>
      <w:r>
        <w:rPr>
          <w:rFonts w:ascii="Calibri" w:hAnsi="Calibri"/>
          <w:b w:val="0"/>
          <w:i w:val="0"/>
          <w:color w:val="1A1A1A"/>
          <w:sz w:val="22"/>
        </w:rPr>
        <w:t>Execution of definitive legal documentation prepared by outside company counsel.</w:t>
      </w:r>
    </w:p>
    <w:p>
      <w:pPr>
        <w:keepNext/>
        <w:spacing w:before="280" w:after="80"/>
      </w:pPr>
      <w:r>
        <w:rPr>
          <w:rFonts w:ascii="Calibri" w:hAnsi="Calibri"/>
          <w:b/>
          <w:color w:val="1F3864"/>
          <w:sz w:val="28"/>
        </w:rPr>
        <w:t>3. SIGNATURE AND ACKNOWLEDGMENT</w:t>
      </w:r>
    </w:p>
    <w:p>
      <w:pPr>
        <w:keepNext/>
        <w:spacing w:before="240" w:after="160"/>
      </w:pPr>
      <w:r>
        <w:rPr>
          <w:rFonts w:ascii="Calibri" w:hAnsi="Calibri"/>
          <w:i/>
          <w:sz w:val="21"/>
        </w:rPr>
        <w:t>IN WITNESS WHEREOF, the parties hereto have caused this instrument to be executed by their duly authorized representatives as of the date first written above.</w:t>
      </w:r>
    </w:p>
    <w:tbl>
      <w:tblPr>
        <w:tblW w:type="auto" w:w="0"/>
        <w:jc w:val="center"/>
        <w:tblLayout w:type="fixed"/>
        <w:tblLook w:firstColumn="1" w:firstRow="1" w:lastColumn="0" w:lastRow="0" w:noHBand="0" w:noVBand="1" w:val="04A0"/>
        <w:tblBorders>
          <w:top w:val="none"/>
          <w:left w:val="none"/>
          <w:right w:val="none"/>
          <w:bottom w:val="none"/>
          <w:insideH w:val="none"/>
          <w:insideV w:val="none"/>
        </w:tblBorders>
      </w:tblPr>
      <w:tblGrid>
        <w:gridCol w:w="4680"/>
        <w:gridCol w:w="4680"/>
      </w:tblGrid>
      <w:tr>
        <w:trPr>
          <w:cantSplit/>
        </w:trPr>
        <w:tc>
          <w:tcPr>
            <w:tcW w:type="dxa" w:w="4680"/>
            <w:tcMar>
              <w:top w:w="80" w:type="dxa"/>
              <w:bottom w:w="80" w:type="dxa"/>
              <w:left w:w="100" w:type="dxa"/>
              <w:right w:w="100" w:type="dxa"/>
            </w:tcMar>
          </w:tcPr>
          <w:p>
            <w:pPr>
              <w:spacing w:before="80" w:after="320"/>
            </w:pPr>
            <w:r>
              <w:rPr>
                <w:rFonts w:ascii="Calibri" w:hAnsi="Calibri"/>
                <w:b/>
                <w:color w:val="1F3864"/>
                <w:sz w:val="22"/>
              </w:rPr>
              <w:t>ERTHOS, INC.</w:t>
              <w:br/>
            </w:r>
            <w:r>
              <w:rPr>
                <w:rFonts w:ascii="Calibri" w:hAnsi="Calibri"/>
                <w:b/>
                <w:sz w:val="21"/>
              </w:rPr>
              <w:t>By: _____________________________________</w:t>
              <w:br/>
            </w:r>
            <w:r>
              <w:rPr>
                <w:rFonts w:ascii="Calibri" w:hAnsi="Calibri"/>
                <w:sz w:val="20"/>
              </w:rPr>
              <w:t>Name: Jim Tyler</w:t>
              <w:br/>
            </w:r>
            <w:r>
              <w:rPr>
                <w:rFonts w:ascii="Calibri" w:hAnsi="Calibri"/>
                <w:sz w:val="20"/>
              </w:rPr>
              <w:t>Title: Chief Executive Officer</w:t>
              <w:br/>
            </w:r>
            <w:r>
              <w:rPr>
                <w:rFonts w:ascii="Calibri" w:hAnsi="Calibri"/>
                <w:sz w:val="20"/>
              </w:rPr>
              <w:t>Date: September 30, 2026</w:t>
            </w:r>
          </w:p>
        </w:tc>
        <w:tc>
          <w:tcPr>
            <w:tcW w:type="dxa" w:w="4680"/>
            <w:tcMar>
              <w:top w:w="80" w:type="dxa"/>
              <w:bottom w:w="80" w:type="dxa"/>
              <w:left w:w="100" w:type="dxa"/>
              <w:right w:w="100" w:type="dxa"/>
            </w:tcMar>
          </w:tcPr>
          <w:p>
            <w:pPr>
              <w:spacing w:before="80" w:after="320"/>
            </w:pPr>
            <w:r>
              <w:rPr>
                <w:rFonts w:ascii="Calibri" w:hAnsi="Calibri"/>
                <w:b/>
                <w:color w:val="1F3864"/>
                <w:sz w:val="22"/>
              </w:rPr>
              <w:t>PACIFIC SEQUOIA HOLDINGS, LLC</w:t>
              <w:br/>
            </w:r>
            <w:r>
              <w:rPr>
                <w:rFonts w:ascii="Calibri" w:hAnsi="Calibri"/>
                <w:b/>
                <w:sz w:val="21"/>
              </w:rPr>
              <w:t>By: _____________________________________</w:t>
              <w:br/>
            </w:r>
            <w:r>
              <w:rPr>
                <w:rFonts w:ascii="Calibri" w:hAnsi="Calibri"/>
                <w:sz w:val="20"/>
              </w:rPr>
              <w:t>Name: Ion Yadigaroglu</w:t>
              <w:br/>
            </w:r>
            <w:r>
              <w:rPr>
                <w:rFonts w:ascii="Calibri" w:hAnsi="Calibri"/>
                <w:sz w:val="20"/>
              </w:rPr>
              <w:t>Title: Authorized Signatory</w:t>
              <w:br/>
            </w:r>
            <w:r>
              <w:rPr>
                <w:rFonts w:ascii="Calibri" w:hAnsi="Calibri"/>
                <w:sz w:val="20"/>
              </w:rPr>
              <w:t>Date: September 30, 2026</w:t>
            </w:r>
          </w:p>
        </w:tc>
      </w:tr>
    </w:tbl>
    <w:p>
      <w:pPr>
        <w:spacing w:before="80" w:after="80"/>
      </w:pP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after="0"/>
    </w:pPr>
    <w:r/>
  </w:p>
  <w:tbl>
    <w:tblPr>
      <w:tblW w:type="auto" w:w="0"/>
      <w:jc w:val="center"/>
      <w:tblLayout w:type="fixed"/>
      <w:tblLook w:firstColumn="1" w:firstRow="1" w:lastColumn="0" w:lastRow="0" w:noHBand="0" w:noVBand="1" w:val="04A0"/>
      <w:tblBorders>
        <w:top w:val="single" w:sz="4" w:space="0" w:color="D7DCE4"/>
        <w:left w:val="none"/>
        <w:right w:val="none"/>
        <w:bottom w:val="none"/>
        <w:insideH w:val="none"/>
        <w:insideV w:val="none"/>
      </w:tblBorders>
    </w:tblPr>
    <w:tblGrid>
      <w:gridCol w:w="6480"/>
      <w:gridCol w:w="2880"/>
    </w:tblGrid>
    <w:tr>
      <w:tc>
        <w:tcPr>
          <w:tcW w:type="dxa" w:w="4680"/>
        </w:tcPr>
        <w:p>
          <w:pPr>
            <w:spacing w:before="40" w:after="0"/>
          </w:pPr>
          <w:r>
            <w:rPr>
              <w:rFonts w:ascii="Calibri" w:hAnsi="Calibri"/>
              <w:color w:val="5A6472"/>
              <w:sz w:val="16"/>
            </w:rPr>
            <w:t>CONFIDENTIAL &amp; PROPRIETARY · SUBJECT TO DEFINITIVE LEGAL AGREEMENTS</w:t>
          </w:r>
        </w:p>
      </w:tc>
      <w:tc>
        <w:tcPr>
          <w:tcW w:type="dxa" w:w="4680"/>
        </w:tcPr>
        <w:p>
          <w:pPr>
            <w:spacing w:before="40" w:after="0"/>
            <w:jc w:val="right"/>
          </w:pPr>
          <w:r>
            <w:rPr>
              <w:rFonts w:ascii="Calibri" w:hAnsi="Calibri"/>
              <w:color w:val="5A6472"/>
              <w:sz w:val="17"/>
            </w:rPr>
            <w:t xml:space="preserve">Page </w:t>
          </w:r>
          <w:r>
            <w:fldChar w:fldCharType="begin"/>
            <w:instrText xml:space="preserve">PAGE</w:instrText>
            <w:fldChar w:fldCharType="separate"/>
            <w:fldChar w:fldCharType="end"/>
          </w:r>
          <w:r>
            <w:rPr>
              <w:rFonts w:ascii="Calibri" w:hAnsi="Calibri"/>
              <w:color w:val="5A6472"/>
              <w:sz w:val="17"/>
            </w:rPr>
            <w:t xml:space="preserve"> of </w:t>
          </w:r>
          <w:r>
            <w:fldChar w:fldCharType="begin"/>
            <w:instrText xml:space="preserve">NUMPAGES</w:instrText>
            <w:fldChar w:fldCharType="separate"/>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80"/>
    </w:pPr>
    <w:r/>
  </w:p>
  <w:tbl>
    <w:tblPr>
      <w:tblW w:type="auto" w:w="0"/>
      <w:jc w:val="center"/>
      <w:tblLayout w:type="fixed"/>
      <w:tblLook w:firstColumn="1" w:firstRow="1" w:lastColumn="0" w:lastRow="0" w:noHBand="0" w:noVBand="1" w:val="04A0"/>
      <w:tblBorders>
        <w:top w:val="none"/>
        <w:left w:val="none"/>
        <w:right w:val="none"/>
        <w:bottom w:val="single" w:sz="6" w:space="0" w:color="D7DCE4"/>
        <w:insideH w:val="none"/>
        <w:insideV w:val="none"/>
      </w:tblBorders>
    </w:tblPr>
    <w:tblGrid>
      <w:gridCol w:w="6480"/>
      <w:gridCol w:w="2880"/>
    </w:tblGrid>
    <w:tr>
      <w:tc>
        <w:tcPr>
          <w:tcW w:type="dxa" w:w="4680"/>
        </w:tcPr>
        <w:p>
          <w:pPr>
            <w:spacing w:before="0" w:after="0"/>
          </w:pPr>
          <w:r>
            <w:rPr>
              <w:rFonts w:ascii="Calibri" w:hAnsi="Calibri"/>
              <w:b/>
              <w:color w:val="1F3864"/>
              <w:sz w:val="17"/>
            </w:rPr>
            <w:t>ERTHOS, INC. · WARRANT TERM SHEET (PSH TRANCHE B)</w:t>
          </w:r>
        </w:p>
      </w:tc>
      <w:tc>
        <w:tcPr>
          <w:tcW w:type="dxa" w:w="4680"/>
        </w:tcPr>
        <w:p>
          <w:pPr>
            <w:spacing w:before="0" w:after="0"/>
            <w:jc w:val="right"/>
          </w:pPr>
          <w:r>
            <w:rPr>
              <w:rFonts w:ascii="Calibri" w:hAnsi="Calibri"/>
              <w:color w:val="5A6472"/>
              <w:sz w:val="17"/>
            </w:rPr>
            <w:t>EXECUTIVE LEGAL DRAFT</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